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543C" w:rsidRPr="005F764F" w:rsidRDefault="007F543C" w:rsidP="008B6477">
      <w:pPr>
        <w:spacing w:after="0"/>
        <w:jc w:val="center"/>
        <w:rPr>
          <w:rFonts w:ascii="Times New Roman" w:hAnsi="Times New Roman" w:cs="Times New Roman"/>
          <w:b/>
          <w:sz w:val="24"/>
          <w:szCs w:val="24"/>
        </w:rPr>
      </w:pPr>
      <w:r w:rsidRPr="005F764F">
        <w:rPr>
          <w:rFonts w:ascii="Times New Roman" w:hAnsi="Times New Roman" w:cs="Times New Roman"/>
          <w:b/>
          <w:sz w:val="24"/>
          <w:szCs w:val="24"/>
        </w:rPr>
        <w:t>Appendix 3</w:t>
      </w:r>
    </w:p>
    <w:p w:rsidR="007F543C" w:rsidRPr="005F764F" w:rsidRDefault="007F543C" w:rsidP="008B6477">
      <w:pPr>
        <w:spacing w:after="0"/>
        <w:jc w:val="center"/>
        <w:rPr>
          <w:rFonts w:ascii="Times New Roman" w:hAnsi="Times New Roman" w:cs="Times New Roman"/>
          <w:b/>
          <w:color w:val="000000" w:themeColor="text1"/>
          <w:sz w:val="24"/>
          <w:szCs w:val="24"/>
        </w:rPr>
      </w:pPr>
    </w:p>
    <w:p w:rsidR="007F543C" w:rsidRPr="005F764F" w:rsidRDefault="007F543C" w:rsidP="008B6477">
      <w:pPr>
        <w:spacing w:after="0"/>
        <w:jc w:val="center"/>
        <w:rPr>
          <w:rFonts w:ascii="Times New Roman" w:hAnsi="Times New Roman" w:cs="Times New Roman"/>
          <w:b/>
          <w:color w:val="000000" w:themeColor="text1"/>
          <w:sz w:val="24"/>
          <w:szCs w:val="24"/>
        </w:rPr>
      </w:pPr>
      <w:r w:rsidRPr="005F764F">
        <w:rPr>
          <w:rFonts w:ascii="Times New Roman" w:hAnsi="Times New Roman" w:cs="Times New Roman"/>
          <w:b/>
          <w:color w:val="000000" w:themeColor="text1"/>
          <w:sz w:val="24"/>
          <w:szCs w:val="24"/>
        </w:rPr>
        <w:t>Property Income Estimation for 1774 and 1798-1800</w:t>
      </w:r>
    </w:p>
    <w:p w:rsidR="007F543C" w:rsidRPr="005F764F" w:rsidRDefault="007F543C" w:rsidP="008B6477">
      <w:pPr>
        <w:spacing w:after="0"/>
        <w:jc w:val="center"/>
        <w:rPr>
          <w:rFonts w:ascii="Times New Roman" w:hAnsi="Times New Roman" w:cs="Times New Roman"/>
          <w:color w:val="000000" w:themeColor="text1"/>
          <w:sz w:val="24"/>
          <w:szCs w:val="24"/>
        </w:rPr>
      </w:pPr>
    </w:p>
    <w:p w:rsidR="008B6477" w:rsidRPr="005F764F" w:rsidRDefault="005A022D" w:rsidP="008B6477">
      <w:pPr>
        <w:spacing w:after="0"/>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The incomes from property can b</w:t>
      </w:r>
      <w:r w:rsidR="007D2A6A" w:rsidRPr="005F764F">
        <w:rPr>
          <w:rFonts w:ascii="Times New Roman" w:hAnsi="Times New Roman" w:cs="Times New Roman"/>
          <w:color w:val="000000" w:themeColor="text1"/>
          <w:sz w:val="24"/>
        </w:rPr>
        <w:t xml:space="preserve">e estimated for any historical </w:t>
      </w:r>
      <w:r w:rsidR="0075107E" w:rsidRPr="005F764F">
        <w:rPr>
          <w:rFonts w:ascii="Times New Roman" w:hAnsi="Times New Roman" w:cs="Times New Roman"/>
          <w:color w:val="000000" w:themeColor="text1"/>
          <w:sz w:val="24"/>
        </w:rPr>
        <w:t>period for which the</w:t>
      </w:r>
      <w:r w:rsidR="007D2A6A" w:rsidRPr="005F764F">
        <w:rPr>
          <w:rFonts w:ascii="Times New Roman" w:hAnsi="Times New Roman" w:cs="Times New Roman"/>
          <w:color w:val="000000" w:themeColor="text1"/>
          <w:sz w:val="24"/>
        </w:rPr>
        <w:t xml:space="preserve"> archives </w:t>
      </w:r>
      <w:r w:rsidRPr="005F764F">
        <w:rPr>
          <w:rFonts w:ascii="Times New Roman" w:hAnsi="Times New Roman" w:cs="Times New Roman"/>
          <w:color w:val="000000" w:themeColor="text1"/>
          <w:sz w:val="24"/>
        </w:rPr>
        <w:t>yield information on stocks of wealth and the rates of annual return from that wealth. To measure the kinds of property incomes that would enter in the definition used in national income and product accounts (NIPA)</w:t>
      </w:r>
      <w:r w:rsidR="007D2A6A" w:rsidRPr="005F764F">
        <w:rPr>
          <w:rFonts w:ascii="Times New Roman" w:hAnsi="Times New Roman" w:cs="Times New Roman"/>
          <w:color w:val="000000" w:themeColor="text1"/>
          <w:sz w:val="24"/>
        </w:rPr>
        <w:t>. R</w:t>
      </w:r>
      <w:r w:rsidRPr="005F764F">
        <w:rPr>
          <w:rFonts w:ascii="Times New Roman" w:hAnsi="Times New Roman" w:cs="Times New Roman"/>
          <w:color w:val="000000" w:themeColor="text1"/>
          <w:sz w:val="24"/>
        </w:rPr>
        <w:t xml:space="preserve">ates of return </w:t>
      </w:r>
      <w:r w:rsidR="007D2A6A" w:rsidRPr="005F764F">
        <w:rPr>
          <w:rFonts w:ascii="Times New Roman" w:hAnsi="Times New Roman" w:cs="Times New Roman"/>
          <w:color w:val="000000" w:themeColor="text1"/>
          <w:sz w:val="24"/>
        </w:rPr>
        <w:t xml:space="preserve">should be applied </w:t>
      </w:r>
      <w:r w:rsidRPr="005F764F">
        <w:rPr>
          <w:rFonts w:ascii="Times New Roman" w:hAnsi="Times New Roman" w:cs="Times New Roman"/>
          <w:color w:val="000000" w:themeColor="text1"/>
          <w:sz w:val="24"/>
        </w:rPr>
        <w:t>only to NIPA-type assets</w:t>
      </w:r>
      <w:r w:rsidR="007D2A6A" w:rsidRPr="005F764F">
        <w:rPr>
          <w:rFonts w:ascii="Times New Roman" w:hAnsi="Times New Roman" w:cs="Times New Roman"/>
          <w:color w:val="000000" w:themeColor="text1"/>
          <w:sz w:val="24"/>
        </w:rPr>
        <w:t>, and t</w:t>
      </w:r>
      <w:r w:rsidRPr="005F764F">
        <w:rPr>
          <w:rFonts w:ascii="Times New Roman" w:hAnsi="Times New Roman" w:cs="Times New Roman"/>
          <w:color w:val="000000" w:themeColor="text1"/>
          <w:sz w:val="24"/>
        </w:rPr>
        <w:t xml:space="preserve">hese typically exclude consumer durables and cash. </w:t>
      </w:r>
    </w:p>
    <w:p w:rsidR="005A022D" w:rsidRPr="005F764F" w:rsidRDefault="005A022D" w:rsidP="008B6477">
      <w:pPr>
        <w:spacing w:after="0"/>
        <w:rPr>
          <w:rFonts w:ascii="Times New Roman" w:hAnsi="Times New Roman" w:cs="Times New Roman"/>
          <w:color w:val="000000" w:themeColor="text1"/>
          <w:sz w:val="24"/>
        </w:rPr>
      </w:pPr>
    </w:p>
    <w:p w:rsidR="007F543C" w:rsidRPr="005F764F" w:rsidRDefault="007D2A6A" w:rsidP="008B6477">
      <w:pPr>
        <w:spacing w:after="0"/>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 xml:space="preserve">Estimates discussed in </w:t>
      </w:r>
      <w:r w:rsidR="005A022D" w:rsidRPr="005F764F">
        <w:rPr>
          <w:rFonts w:ascii="Times New Roman" w:hAnsi="Times New Roman" w:cs="Times New Roman"/>
          <w:color w:val="000000" w:themeColor="text1"/>
          <w:sz w:val="24"/>
        </w:rPr>
        <w:t xml:space="preserve">this appendix, and </w:t>
      </w:r>
      <w:r w:rsidRPr="005F764F">
        <w:rPr>
          <w:rFonts w:ascii="Times New Roman" w:hAnsi="Times New Roman" w:cs="Times New Roman"/>
          <w:color w:val="000000" w:themeColor="text1"/>
          <w:sz w:val="24"/>
        </w:rPr>
        <w:t xml:space="preserve">in </w:t>
      </w:r>
      <w:r w:rsidR="005A022D" w:rsidRPr="005F764F">
        <w:rPr>
          <w:rFonts w:ascii="Times New Roman" w:hAnsi="Times New Roman" w:cs="Times New Roman"/>
          <w:color w:val="000000" w:themeColor="text1"/>
          <w:sz w:val="24"/>
        </w:rPr>
        <w:t xml:space="preserve">the corresponding parts of the main text, come from calculations </w:t>
      </w:r>
      <w:r w:rsidRPr="005F764F">
        <w:rPr>
          <w:rFonts w:ascii="Times New Roman" w:hAnsi="Times New Roman" w:cs="Times New Roman"/>
          <w:color w:val="000000" w:themeColor="text1"/>
          <w:sz w:val="24"/>
        </w:rPr>
        <w:t xml:space="preserve">reported </w:t>
      </w:r>
      <w:r w:rsidR="005A022D" w:rsidRPr="005F764F">
        <w:rPr>
          <w:rFonts w:ascii="Times New Roman" w:hAnsi="Times New Roman" w:cs="Times New Roman"/>
          <w:color w:val="000000" w:themeColor="text1"/>
          <w:sz w:val="24"/>
        </w:rPr>
        <w:t xml:space="preserve">in </w:t>
      </w:r>
      <w:r w:rsidR="007F543C" w:rsidRPr="005F764F">
        <w:rPr>
          <w:rFonts w:ascii="Times New Roman" w:hAnsi="Times New Roman" w:cs="Times New Roman"/>
          <w:color w:val="000000" w:themeColor="text1"/>
          <w:sz w:val="24"/>
        </w:rPr>
        <w:t xml:space="preserve">Excel and Word files in the same locations described for Appendices 1 and 2.  </w:t>
      </w:r>
      <w:r w:rsidR="003E1908" w:rsidRPr="005F764F">
        <w:rPr>
          <w:rFonts w:ascii="Times New Roman" w:hAnsi="Times New Roman" w:cs="Times New Roman"/>
          <w:color w:val="000000" w:themeColor="text1"/>
          <w:sz w:val="24"/>
        </w:rPr>
        <w:t xml:space="preserve">Its three regional files for 1774 are large, and its worksheets on occupational mix contain material supporting the occupational estimates already described in Appendix 1.  </w:t>
      </w:r>
    </w:p>
    <w:p w:rsidR="007F543C" w:rsidRPr="005F764F" w:rsidRDefault="007F543C" w:rsidP="008B6477">
      <w:pPr>
        <w:spacing w:after="0"/>
        <w:rPr>
          <w:rFonts w:ascii="Times New Roman" w:hAnsi="Times New Roman" w:cs="Times New Roman"/>
          <w:b/>
          <w:color w:val="000000" w:themeColor="text1"/>
          <w:sz w:val="24"/>
          <w:szCs w:val="24"/>
        </w:rPr>
      </w:pPr>
      <w:r w:rsidRPr="005F764F">
        <w:rPr>
          <w:rFonts w:ascii="Times New Roman" w:hAnsi="Times New Roman" w:cs="Times New Roman"/>
          <w:color w:val="000000" w:themeColor="text1"/>
          <w:sz w:val="24"/>
        </w:rPr>
        <w:tab/>
      </w:r>
    </w:p>
    <w:p w:rsidR="001931AE" w:rsidRPr="005F764F" w:rsidRDefault="001A3466" w:rsidP="008B6477">
      <w:pPr>
        <w:spacing w:after="0"/>
        <w:rPr>
          <w:rFonts w:ascii="Times New Roman" w:hAnsi="Times New Roman" w:cs="Times New Roman"/>
          <w:color w:val="000000" w:themeColor="text1"/>
          <w:sz w:val="24"/>
        </w:rPr>
      </w:pPr>
      <w:r w:rsidRPr="005F764F">
        <w:rPr>
          <w:rFonts w:ascii="Times New Roman" w:hAnsi="Times New Roman" w:cs="Times New Roman"/>
          <w:b/>
          <w:color w:val="000000" w:themeColor="text1"/>
          <w:sz w:val="24"/>
          <w:u w:val="single"/>
        </w:rPr>
        <w:t xml:space="preserve">The 1774 </w:t>
      </w:r>
      <w:r w:rsidR="0006662A" w:rsidRPr="005F764F">
        <w:rPr>
          <w:rFonts w:ascii="Times New Roman" w:hAnsi="Times New Roman" w:cs="Times New Roman"/>
          <w:b/>
          <w:color w:val="000000" w:themeColor="text1"/>
          <w:sz w:val="24"/>
          <w:u w:val="single"/>
        </w:rPr>
        <w:t xml:space="preserve">property </w:t>
      </w:r>
      <w:r w:rsidRPr="005F764F">
        <w:rPr>
          <w:rFonts w:ascii="Times New Roman" w:hAnsi="Times New Roman" w:cs="Times New Roman"/>
          <w:b/>
          <w:color w:val="000000" w:themeColor="text1"/>
          <w:sz w:val="24"/>
          <w:u w:val="single"/>
        </w:rPr>
        <w:t>estimates</w:t>
      </w:r>
    </w:p>
    <w:p w:rsidR="007F543C" w:rsidRPr="005F764F" w:rsidRDefault="007F543C" w:rsidP="008B6477">
      <w:pPr>
        <w:spacing w:after="0"/>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 xml:space="preserve"> </w:t>
      </w:r>
    </w:p>
    <w:p w:rsidR="008B6477" w:rsidRPr="005F764F" w:rsidRDefault="001A3466" w:rsidP="008B6477">
      <w:pPr>
        <w:spacing w:after="0"/>
        <w:rPr>
          <w:rFonts w:ascii="Times New Roman" w:hAnsi="Times New Roman" w:cs="Times New Roman"/>
          <w:color w:val="000000" w:themeColor="text1"/>
          <w:sz w:val="24"/>
        </w:rPr>
      </w:pPr>
      <w:r w:rsidRPr="007E135D">
        <w:rPr>
          <w:rFonts w:ascii="Times New Roman" w:hAnsi="Times New Roman" w:cs="Times New Roman"/>
          <w:color w:val="000000" w:themeColor="text1"/>
          <w:sz w:val="24"/>
        </w:rPr>
        <w:t xml:space="preserve">Fortunately, we have the </w:t>
      </w:r>
      <w:r w:rsidR="0070605F" w:rsidRPr="007E135D">
        <w:rPr>
          <w:rFonts w:ascii="Times New Roman" w:hAnsi="Times New Roman" w:cs="Times New Roman"/>
          <w:color w:val="000000" w:themeColor="text1"/>
          <w:sz w:val="24"/>
        </w:rPr>
        <w:t xml:space="preserve">landmark </w:t>
      </w:r>
      <w:r w:rsidR="00CC60F0" w:rsidRPr="007E135D">
        <w:rPr>
          <w:rFonts w:ascii="Times New Roman" w:hAnsi="Times New Roman" w:cs="Times New Roman"/>
          <w:color w:val="000000" w:themeColor="text1"/>
          <w:sz w:val="24"/>
        </w:rPr>
        <w:t xml:space="preserve">published </w:t>
      </w:r>
      <w:r w:rsidR="0070605F" w:rsidRPr="007E135D">
        <w:rPr>
          <w:rFonts w:ascii="Times New Roman" w:hAnsi="Times New Roman" w:cs="Times New Roman"/>
          <w:color w:val="000000" w:themeColor="text1"/>
          <w:sz w:val="24"/>
        </w:rPr>
        <w:t xml:space="preserve">study by Alice Hanson Jones (1977, 1980) </w:t>
      </w:r>
      <w:r w:rsidR="00F62156" w:rsidRPr="007E135D">
        <w:rPr>
          <w:rFonts w:ascii="Times New Roman" w:hAnsi="Times New Roman" w:cs="Times New Roman"/>
          <w:color w:val="000000" w:themeColor="text1"/>
          <w:sz w:val="24"/>
        </w:rPr>
        <w:t>and</w:t>
      </w:r>
      <w:r w:rsidR="00CC60F0" w:rsidRPr="007E135D">
        <w:rPr>
          <w:rFonts w:ascii="Times New Roman" w:hAnsi="Times New Roman" w:cs="Times New Roman"/>
          <w:color w:val="000000" w:themeColor="text1"/>
          <w:sz w:val="24"/>
        </w:rPr>
        <w:t xml:space="preserve"> </w:t>
      </w:r>
      <w:r w:rsidR="0070605F" w:rsidRPr="007E135D">
        <w:rPr>
          <w:rFonts w:ascii="Times New Roman" w:hAnsi="Times New Roman" w:cs="Times New Roman"/>
          <w:color w:val="000000" w:themeColor="text1"/>
          <w:sz w:val="24"/>
        </w:rPr>
        <w:t xml:space="preserve">the </w:t>
      </w:r>
      <w:r w:rsidRPr="007E135D">
        <w:rPr>
          <w:rFonts w:ascii="Times New Roman" w:hAnsi="Times New Roman" w:cs="Times New Roman"/>
          <w:color w:val="000000" w:themeColor="text1"/>
          <w:sz w:val="24"/>
        </w:rPr>
        <w:t xml:space="preserve">ICPSR file of </w:t>
      </w:r>
      <w:r w:rsidR="0070605F" w:rsidRPr="007E135D">
        <w:rPr>
          <w:rFonts w:ascii="Times New Roman" w:hAnsi="Times New Roman" w:cs="Times New Roman"/>
          <w:color w:val="000000" w:themeColor="text1"/>
          <w:sz w:val="24"/>
        </w:rPr>
        <w:t>the</w:t>
      </w:r>
      <w:r w:rsidRPr="007E135D">
        <w:rPr>
          <w:rFonts w:ascii="Times New Roman" w:hAnsi="Times New Roman" w:cs="Times New Roman"/>
          <w:color w:val="000000" w:themeColor="text1"/>
          <w:sz w:val="24"/>
        </w:rPr>
        <w:t xml:space="preserve"> individuals</w:t>
      </w:r>
      <w:r w:rsidR="0070605F" w:rsidRPr="007E135D">
        <w:rPr>
          <w:rFonts w:ascii="Times New Roman" w:hAnsi="Times New Roman" w:cs="Times New Roman"/>
          <w:color w:val="000000" w:themeColor="text1"/>
          <w:sz w:val="24"/>
        </w:rPr>
        <w:t xml:space="preserve"> in her sample</w:t>
      </w:r>
      <w:r w:rsidRPr="007E135D">
        <w:rPr>
          <w:rFonts w:ascii="Times New Roman" w:hAnsi="Times New Roman" w:cs="Times New Roman"/>
          <w:color w:val="000000" w:themeColor="text1"/>
          <w:sz w:val="24"/>
        </w:rPr>
        <w:t xml:space="preserve">. </w:t>
      </w:r>
      <w:r w:rsidR="00452502" w:rsidRPr="007E135D">
        <w:rPr>
          <w:rFonts w:ascii="Times New Roman" w:hAnsi="Times New Roman" w:cs="Times New Roman"/>
          <w:color w:val="000000" w:themeColor="text1"/>
          <w:sz w:val="24"/>
        </w:rPr>
        <w:t xml:space="preserve">Far from just presenting a set of 919 probated individuals, Jones </w:t>
      </w:r>
      <w:r w:rsidR="00CC60F0" w:rsidRPr="007E135D">
        <w:rPr>
          <w:rFonts w:ascii="Times New Roman" w:hAnsi="Times New Roman" w:cs="Times New Roman"/>
          <w:color w:val="000000" w:themeColor="text1"/>
          <w:sz w:val="24"/>
        </w:rPr>
        <w:t xml:space="preserve">used </w:t>
      </w:r>
      <w:r w:rsidR="00452502" w:rsidRPr="007E135D">
        <w:rPr>
          <w:rFonts w:ascii="Times New Roman" w:hAnsi="Times New Roman" w:cs="Times New Roman"/>
          <w:color w:val="000000" w:themeColor="text1"/>
          <w:sz w:val="24"/>
        </w:rPr>
        <w:t xml:space="preserve">them </w:t>
      </w:r>
      <w:r w:rsidR="00CC60F0" w:rsidRPr="007E135D">
        <w:rPr>
          <w:rFonts w:ascii="Times New Roman" w:hAnsi="Times New Roman" w:cs="Times New Roman"/>
          <w:color w:val="000000" w:themeColor="text1"/>
          <w:sz w:val="24"/>
        </w:rPr>
        <w:t xml:space="preserve">to describe </w:t>
      </w:r>
      <w:r w:rsidR="00452502" w:rsidRPr="007E135D">
        <w:rPr>
          <w:rFonts w:ascii="Times New Roman" w:hAnsi="Times New Roman" w:cs="Times New Roman"/>
          <w:color w:val="000000" w:themeColor="text1"/>
          <w:sz w:val="24"/>
        </w:rPr>
        <w:t>a carefully weighted sli</w:t>
      </w:r>
      <w:r w:rsidR="003D1A63" w:rsidRPr="007E135D">
        <w:rPr>
          <w:rFonts w:ascii="Times New Roman" w:hAnsi="Times New Roman" w:cs="Times New Roman"/>
          <w:color w:val="000000" w:themeColor="text1"/>
          <w:sz w:val="24"/>
        </w:rPr>
        <w:t>ce of society. She fashioned the set of</w:t>
      </w:r>
      <w:r w:rsidR="00452502" w:rsidRPr="007E135D">
        <w:rPr>
          <w:rFonts w:ascii="Times New Roman" w:hAnsi="Times New Roman" w:cs="Times New Roman"/>
          <w:color w:val="000000" w:themeColor="text1"/>
          <w:sz w:val="24"/>
        </w:rPr>
        <w:t xml:space="preserve"> weights from</w:t>
      </w:r>
      <w:r w:rsidR="00452502" w:rsidRPr="005F764F">
        <w:rPr>
          <w:rFonts w:ascii="Times New Roman" w:hAnsi="Times New Roman" w:cs="Times New Roman"/>
          <w:color w:val="000000" w:themeColor="text1"/>
          <w:sz w:val="24"/>
        </w:rPr>
        <w:t xml:space="preserve"> her reading of the literature on occupations and from census-based shares for different groups defined by </w:t>
      </w:r>
      <w:r w:rsidR="003D1A63" w:rsidRPr="005F764F">
        <w:rPr>
          <w:rFonts w:ascii="Times New Roman" w:hAnsi="Times New Roman" w:cs="Times New Roman"/>
          <w:color w:val="000000" w:themeColor="text1"/>
          <w:sz w:val="24"/>
        </w:rPr>
        <w:t>ag</w:t>
      </w:r>
      <w:r w:rsidR="00B9334F" w:rsidRPr="005F764F">
        <w:rPr>
          <w:rFonts w:ascii="Times New Roman" w:hAnsi="Times New Roman" w:cs="Times New Roman"/>
          <w:color w:val="000000" w:themeColor="text1"/>
          <w:sz w:val="24"/>
        </w:rPr>
        <w:t xml:space="preserve">e range, sex, race, and place. </w:t>
      </w:r>
    </w:p>
    <w:p w:rsidR="00B9334F" w:rsidRPr="005F764F" w:rsidRDefault="00B9334F" w:rsidP="008B6477">
      <w:pPr>
        <w:spacing w:after="0"/>
        <w:rPr>
          <w:rFonts w:ascii="Times New Roman" w:hAnsi="Times New Roman" w:cs="Times New Roman"/>
          <w:color w:val="000000" w:themeColor="text1"/>
          <w:sz w:val="24"/>
        </w:rPr>
      </w:pPr>
    </w:p>
    <w:p w:rsidR="007906C5" w:rsidRPr="005F764F" w:rsidRDefault="00B9334F" w:rsidP="008B6477">
      <w:pPr>
        <w:spacing w:after="0"/>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 xml:space="preserve">The only dimensions on which we have reason to revise her weights relate to occupations, poverty status, and asset ownership.  Since 1980, the internet </w:t>
      </w:r>
      <w:r w:rsidR="0006662A" w:rsidRPr="005F764F">
        <w:rPr>
          <w:rFonts w:ascii="Times New Roman" w:hAnsi="Times New Roman" w:cs="Times New Roman"/>
          <w:color w:val="000000" w:themeColor="text1"/>
          <w:sz w:val="24"/>
        </w:rPr>
        <w:t xml:space="preserve">and spreadsheet technology </w:t>
      </w:r>
      <w:r w:rsidRPr="005F764F">
        <w:rPr>
          <w:rFonts w:ascii="Times New Roman" w:hAnsi="Times New Roman" w:cs="Times New Roman"/>
          <w:color w:val="000000" w:themeColor="text1"/>
          <w:sz w:val="24"/>
        </w:rPr>
        <w:t xml:space="preserve">have given us data she could not incorporate into her </w:t>
      </w:r>
      <w:r w:rsidR="00CC60F0" w:rsidRPr="005F764F">
        <w:rPr>
          <w:rFonts w:ascii="Times New Roman" w:hAnsi="Times New Roman" w:cs="Times New Roman"/>
          <w:color w:val="000000" w:themeColor="text1"/>
          <w:sz w:val="24"/>
        </w:rPr>
        <w:t>own work</w:t>
      </w:r>
      <w:r w:rsidRPr="005F764F">
        <w:rPr>
          <w:rFonts w:ascii="Times New Roman" w:hAnsi="Times New Roman" w:cs="Times New Roman"/>
          <w:color w:val="000000" w:themeColor="text1"/>
          <w:sz w:val="24"/>
        </w:rPr>
        <w:t xml:space="preserve">.  </w:t>
      </w:r>
      <w:r w:rsidR="003253F0" w:rsidRPr="005F764F">
        <w:rPr>
          <w:rFonts w:ascii="Times New Roman" w:hAnsi="Times New Roman" w:cs="Times New Roman"/>
          <w:color w:val="000000" w:themeColor="text1"/>
          <w:sz w:val="24"/>
        </w:rPr>
        <w:t xml:space="preserve">We can now draw on additional local tax lists, censuses, and city directories, to get a clearer picture of the occupational mix and of the shares of household heads that </w:t>
      </w:r>
      <w:r w:rsidR="007906C5" w:rsidRPr="005F764F">
        <w:rPr>
          <w:rFonts w:ascii="Times New Roman" w:hAnsi="Times New Roman" w:cs="Times New Roman"/>
          <w:color w:val="000000" w:themeColor="text1"/>
          <w:sz w:val="24"/>
        </w:rPr>
        <w:t xml:space="preserve">lacked occupational labels and/or were too poor to be taxable. Table 1 in the </w:t>
      </w:r>
      <w:r w:rsidR="000562C5" w:rsidRPr="005F764F">
        <w:rPr>
          <w:rFonts w:ascii="Times New Roman" w:hAnsi="Times New Roman" w:cs="Times New Roman"/>
          <w:color w:val="000000" w:themeColor="text1"/>
          <w:sz w:val="24"/>
        </w:rPr>
        <w:t xml:space="preserve">article describes </w:t>
      </w:r>
      <w:r w:rsidR="007906C5" w:rsidRPr="005F764F">
        <w:rPr>
          <w:rFonts w:ascii="Times New Roman" w:hAnsi="Times New Roman" w:cs="Times New Roman"/>
          <w:color w:val="000000" w:themeColor="text1"/>
          <w:sz w:val="24"/>
        </w:rPr>
        <w:t>some of the sources we have added</w:t>
      </w:r>
      <w:r w:rsidR="000562C5" w:rsidRPr="005F764F">
        <w:rPr>
          <w:rFonts w:ascii="Times New Roman" w:hAnsi="Times New Roman" w:cs="Times New Roman"/>
          <w:color w:val="000000" w:themeColor="text1"/>
          <w:sz w:val="24"/>
        </w:rPr>
        <w:t xml:space="preserve"> to the Jones mix</w:t>
      </w:r>
      <w:r w:rsidR="007906C5" w:rsidRPr="005F764F">
        <w:rPr>
          <w:rFonts w:ascii="Times New Roman" w:hAnsi="Times New Roman" w:cs="Times New Roman"/>
          <w:color w:val="000000" w:themeColor="text1"/>
          <w:sz w:val="24"/>
        </w:rPr>
        <w:t>.</w:t>
      </w:r>
      <w:r w:rsidR="009B2A86" w:rsidRPr="005F764F">
        <w:rPr>
          <w:rStyle w:val="FootnoteReference"/>
          <w:rFonts w:ascii="Times New Roman" w:hAnsi="Times New Roman" w:cs="Times New Roman"/>
          <w:color w:val="000000" w:themeColor="text1"/>
          <w:sz w:val="24"/>
        </w:rPr>
        <w:footnoteReference w:id="2"/>
      </w:r>
      <w:r w:rsidR="007906C5" w:rsidRPr="005F764F">
        <w:rPr>
          <w:rFonts w:ascii="Times New Roman" w:hAnsi="Times New Roman" w:cs="Times New Roman"/>
          <w:color w:val="000000" w:themeColor="text1"/>
          <w:sz w:val="24"/>
        </w:rPr>
        <w:t xml:space="preserve">  </w:t>
      </w:r>
    </w:p>
    <w:p w:rsidR="008B6477" w:rsidRPr="005F764F" w:rsidRDefault="008B6477" w:rsidP="008B6477">
      <w:pPr>
        <w:spacing w:after="0"/>
        <w:rPr>
          <w:rFonts w:ascii="Times New Roman" w:hAnsi="Times New Roman" w:cs="Times New Roman"/>
          <w:color w:val="000000" w:themeColor="text1"/>
          <w:sz w:val="24"/>
        </w:rPr>
      </w:pPr>
    </w:p>
    <w:p w:rsidR="00B97A20" w:rsidRPr="005F764F" w:rsidRDefault="007906C5" w:rsidP="008B6477">
      <w:pPr>
        <w:spacing w:after="0"/>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 xml:space="preserve">The new Lindert-Williamson (LW) counts of occupations and household headship depart from Jones’s estimates in </w:t>
      </w:r>
      <w:r w:rsidR="0006662A" w:rsidRPr="005F764F">
        <w:rPr>
          <w:rFonts w:ascii="Times New Roman" w:hAnsi="Times New Roman" w:cs="Times New Roman"/>
          <w:color w:val="000000" w:themeColor="text1"/>
          <w:sz w:val="24"/>
        </w:rPr>
        <w:t xml:space="preserve">all three regions. </w:t>
      </w:r>
      <w:r w:rsidR="003A2613" w:rsidRPr="005F764F">
        <w:rPr>
          <w:rFonts w:ascii="Times New Roman" w:hAnsi="Times New Roman" w:cs="Times New Roman"/>
          <w:color w:val="000000" w:themeColor="text1"/>
          <w:sz w:val="24"/>
        </w:rPr>
        <w:t>Our mapping of New England occupations began with data on Boston’s occupational directories, he</w:t>
      </w:r>
      <w:r w:rsidR="00C467E2" w:rsidRPr="005F764F">
        <w:rPr>
          <w:rFonts w:ascii="Times New Roman" w:hAnsi="Times New Roman" w:cs="Times New Roman"/>
          <w:color w:val="000000" w:themeColor="text1"/>
          <w:sz w:val="24"/>
        </w:rPr>
        <w:t>lped by Jacob Price (1974). These omitted</w:t>
      </w:r>
      <w:r w:rsidR="003A2613" w:rsidRPr="005F764F">
        <w:rPr>
          <w:rFonts w:ascii="Times New Roman" w:hAnsi="Times New Roman" w:cs="Times New Roman"/>
          <w:color w:val="000000" w:themeColor="text1"/>
          <w:sz w:val="24"/>
        </w:rPr>
        <w:t xml:space="preserve"> many Boston household</w:t>
      </w:r>
      <w:r w:rsidR="00C467E2" w:rsidRPr="005F764F">
        <w:rPr>
          <w:rFonts w:ascii="Times New Roman" w:hAnsi="Times New Roman" w:cs="Times New Roman"/>
          <w:color w:val="000000" w:themeColor="text1"/>
          <w:sz w:val="24"/>
        </w:rPr>
        <w:t xml:space="preserve"> head</w:t>
      </w:r>
      <w:r w:rsidR="003A2613" w:rsidRPr="005F764F">
        <w:rPr>
          <w:rFonts w:ascii="Times New Roman" w:hAnsi="Times New Roman" w:cs="Times New Roman"/>
          <w:color w:val="000000" w:themeColor="text1"/>
          <w:sz w:val="24"/>
        </w:rPr>
        <w:t>s. We then turned to</w:t>
      </w:r>
      <w:r w:rsidR="0006662A" w:rsidRPr="005F764F">
        <w:rPr>
          <w:rFonts w:ascii="Times New Roman" w:hAnsi="Times New Roman" w:cs="Times New Roman"/>
          <w:color w:val="000000" w:themeColor="text1"/>
          <w:sz w:val="24"/>
        </w:rPr>
        <w:t xml:space="preserve"> the </w:t>
      </w:r>
      <w:r w:rsidR="00BC0AED" w:rsidRPr="005F764F">
        <w:rPr>
          <w:rFonts w:ascii="Times New Roman" w:hAnsi="Times New Roman" w:cs="Times New Roman"/>
          <w:color w:val="000000" w:themeColor="text1"/>
          <w:sz w:val="24"/>
        </w:rPr>
        <w:t xml:space="preserve">giant </w:t>
      </w:r>
      <w:r w:rsidR="0006662A" w:rsidRPr="005F764F">
        <w:rPr>
          <w:rFonts w:ascii="Times New Roman" w:hAnsi="Times New Roman" w:cs="Times New Roman"/>
          <w:color w:val="000000" w:themeColor="text1"/>
          <w:sz w:val="24"/>
        </w:rPr>
        <w:t>1771 tax retu</w:t>
      </w:r>
      <w:r w:rsidR="003A2613" w:rsidRPr="005F764F">
        <w:rPr>
          <w:rFonts w:ascii="Times New Roman" w:hAnsi="Times New Roman" w:cs="Times New Roman"/>
          <w:color w:val="000000" w:themeColor="text1"/>
          <w:sz w:val="24"/>
        </w:rPr>
        <w:t>rn for Massachusetts, including Maine</w:t>
      </w:r>
      <w:r w:rsidR="00BC0AED" w:rsidRPr="005F764F">
        <w:rPr>
          <w:rFonts w:ascii="Times New Roman" w:hAnsi="Times New Roman" w:cs="Times New Roman"/>
          <w:color w:val="000000" w:themeColor="text1"/>
          <w:sz w:val="24"/>
        </w:rPr>
        <w:t xml:space="preserve"> (ICPSR 07734)</w:t>
      </w:r>
      <w:r w:rsidR="003A2613" w:rsidRPr="005F764F">
        <w:rPr>
          <w:rFonts w:ascii="Times New Roman" w:hAnsi="Times New Roman" w:cs="Times New Roman"/>
          <w:color w:val="000000" w:themeColor="text1"/>
          <w:sz w:val="24"/>
        </w:rPr>
        <w:t xml:space="preserve">.  Warned by Gerard Warden’s (1976) article, we distrusted the assessed valuations given in this return.  Rather we </w:t>
      </w:r>
      <w:r w:rsidR="00DA113A" w:rsidRPr="005F764F">
        <w:rPr>
          <w:rFonts w:ascii="Times New Roman" w:hAnsi="Times New Roman" w:cs="Times New Roman"/>
          <w:color w:val="000000" w:themeColor="text1"/>
          <w:sz w:val="24"/>
        </w:rPr>
        <w:t>extrac</w:t>
      </w:r>
      <w:r w:rsidR="003A2613" w:rsidRPr="005F764F">
        <w:rPr>
          <w:rFonts w:ascii="Times New Roman" w:hAnsi="Times New Roman" w:cs="Times New Roman"/>
          <w:color w:val="000000" w:themeColor="text1"/>
          <w:sz w:val="24"/>
        </w:rPr>
        <w:t xml:space="preserve">ted only two </w:t>
      </w:r>
      <w:r w:rsidR="00DA113A" w:rsidRPr="005F764F">
        <w:rPr>
          <w:rFonts w:ascii="Times New Roman" w:hAnsi="Times New Roman" w:cs="Times New Roman"/>
          <w:color w:val="000000" w:themeColor="text1"/>
          <w:sz w:val="24"/>
        </w:rPr>
        <w:t xml:space="preserve">occupational </w:t>
      </w:r>
      <w:r w:rsidR="00E333B6" w:rsidRPr="005F764F">
        <w:rPr>
          <w:rFonts w:ascii="Times New Roman" w:hAnsi="Times New Roman" w:cs="Times New Roman"/>
          <w:color w:val="000000" w:themeColor="text1"/>
          <w:sz w:val="24"/>
        </w:rPr>
        <w:t>clues: Whether</w:t>
      </w:r>
      <w:r w:rsidR="00DA113A" w:rsidRPr="005F764F">
        <w:rPr>
          <w:rFonts w:ascii="Times New Roman" w:hAnsi="Times New Roman" w:cs="Times New Roman"/>
          <w:color w:val="000000" w:themeColor="text1"/>
          <w:sz w:val="24"/>
        </w:rPr>
        <w:t xml:space="preserve"> this person </w:t>
      </w:r>
      <w:r w:rsidR="00E333B6" w:rsidRPr="005F764F">
        <w:rPr>
          <w:rFonts w:ascii="Times New Roman" w:hAnsi="Times New Roman" w:cs="Times New Roman"/>
          <w:color w:val="000000" w:themeColor="text1"/>
          <w:sz w:val="24"/>
        </w:rPr>
        <w:t xml:space="preserve">was </w:t>
      </w:r>
      <w:r w:rsidR="00DA113A" w:rsidRPr="005F764F">
        <w:rPr>
          <w:rFonts w:ascii="Times New Roman" w:hAnsi="Times New Roman" w:cs="Times New Roman"/>
          <w:color w:val="000000" w:themeColor="text1"/>
          <w:sz w:val="24"/>
        </w:rPr>
        <w:t xml:space="preserve">assessed for any wealth at all, and </w:t>
      </w:r>
      <w:r w:rsidR="00E333B6" w:rsidRPr="005F764F">
        <w:rPr>
          <w:rFonts w:ascii="Times New Roman" w:hAnsi="Times New Roman" w:cs="Times New Roman"/>
          <w:color w:val="000000" w:themeColor="text1"/>
          <w:sz w:val="24"/>
        </w:rPr>
        <w:t>whether</w:t>
      </w:r>
      <w:r w:rsidR="00DA113A" w:rsidRPr="005F764F">
        <w:rPr>
          <w:rFonts w:ascii="Times New Roman" w:hAnsi="Times New Roman" w:cs="Times New Roman"/>
          <w:color w:val="000000" w:themeColor="text1"/>
          <w:sz w:val="24"/>
        </w:rPr>
        <w:t xml:space="preserve"> this person </w:t>
      </w:r>
      <w:r w:rsidR="00E333B6" w:rsidRPr="005F764F">
        <w:rPr>
          <w:rFonts w:ascii="Times New Roman" w:hAnsi="Times New Roman" w:cs="Times New Roman"/>
          <w:color w:val="000000" w:themeColor="text1"/>
          <w:sz w:val="24"/>
        </w:rPr>
        <w:t xml:space="preserve">was </w:t>
      </w:r>
      <w:r w:rsidR="00DA113A" w:rsidRPr="005F764F">
        <w:rPr>
          <w:rFonts w:ascii="Times New Roman" w:hAnsi="Times New Roman" w:cs="Times New Roman"/>
          <w:color w:val="000000" w:themeColor="text1"/>
          <w:sz w:val="24"/>
        </w:rPr>
        <w:t>a farm</w:t>
      </w:r>
      <w:r w:rsidR="00E333B6" w:rsidRPr="005F764F">
        <w:rPr>
          <w:rFonts w:ascii="Times New Roman" w:hAnsi="Times New Roman" w:cs="Times New Roman"/>
          <w:color w:val="000000" w:themeColor="text1"/>
          <w:sz w:val="24"/>
        </w:rPr>
        <w:t xml:space="preserve"> operator. Farm operator status was revealed by </w:t>
      </w:r>
      <w:r w:rsidR="00BC0AED" w:rsidRPr="005F764F">
        <w:rPr>
          <w:rFonts w:ascii="Times New Roman" w:hAnsi="Times New Roman" w:cs="Times New Roman"/>
          <w:color w:val="000000" w:themeColor="text1"/>
          <w:sz w:val="24"/>
        </w:rPr>
        <w:t xml:space="preserve">the union of </w:t>
      </w:r>
      <w:r w:rsidR="00E333B6" w:rsidRPr="005F764F">
        <w:rPr>
          <w:rFonts w:ascii="Times New Roman" w:hAnsi="Times New Roman" w:cs="Times New Roman"/>
          <w:color w:val="000000" w:themeColor="text1"/>
          <w:sz w:val="24"/>
        </w:rPr>
        <w:t>several asset clues:</w:t>
      </w:r>
      <w:r w:rsidR="00BC0AED" w:rsidRPr="005F764F">
        <w:rPr>
          <w:rFonts w:ascii="Times New Roman" w:hAnsi="Times New Roman" w:cs="Times New Roman"/>
          <w:color w:val="000000" w:themeColor="text1"/>
          <w:sz w:val="24"/>
        </w:rPr>
        <w:t xml:space="preserve"> at least 25 bushels of grain produced, or at least 11 cows or swine, or at least 11 acres of hay land or meadow.</w:t>
      </w:r>
      <w:r w:rsidR="00140151" w:rsidRPr="005F764F">
        <w:rPr>
          <w:rFonts w:ascii="Times New Roman" w:hAnsi="Times New Roman" w:cs="Times New Roman"/>
          <w:color w:val="000000" w:themeColor="text1"/>
          <w:sz w:val="24"/>
        </w:rPr>
        <w:t xml:space="preserve">  Then, for non-Boston New England, </w:t>
      </w:r>
      <w:r w:rsidR="001931AE" w:rsidRPr="005F764F">
        <w:rPr>
          <w:rFonts w:ascii="Times New Roman" w:hAnsi="Times New Roman" w:cs="Times New Roman"/>
          <w:color w:val="000000" w:themeColor="text1"/>
          <w:sz w:val="24"/>
        </w:rPr>
        <w:t xml:space="preserve">we applied the non-farm, non-big city occupation mix from Lancaster PA 1800 to </w:t>
      </w:r>
      <w:r w:rsidR="000562C5" w:rsidRPr="005F764F">
        <w:rPr>
          <w:rFonts w:ascii="Times New Roman" w:hAnsi="Times New Roman" w:cs="Times New Roman"/>
          <w:color w:val="000000" w:themeColor="text1"/>
          <w:sz w:val="24"/>
        </w:rPr>
        <w:t xml:space="preserve">lesser </w:t>
      </w:r>
      <w:r w:rsidR="001931AE" w:rsidRPr="005F764F">
        <w:rPr>
          <w:rFonts w:ascii="Times New Roman" w:hAnsi="Times New Roman" w:cs="Times New Roman"/>
          <w:color w:val="000000" w:themeColor="text1"/>
          <w:sz w:val="24"/>
        </w:rPr>
        <w:t xml:space="preserve">New England </w:t>
      </w:r>
      <w:r w:rsidR="000562C5" w:rsidRPr="005F764F">
        <w:rPr>
          <w:rFonts w:ascii="Times New Roman" w:hAnsi="Times New Roman" w:cs="Times New Roman"/>
          <w:color w:val="000000" w:themeColor="text1"/>
          <w:sz w:val="24"/>
        </w:rPr>
        <w:t>towns</w:t>
      </w:r>
      <w:r w:rsidR="001931AE" w:rsidRPr="005F764F">
        <w:rPr>
          <w:rFonts w:ascii="Times New Roman" w:hAnsi="Times New Roman" w:cs="Times New Roman"/>
          <w:color w:val="000000" w:themeColor="text1"/>
          <w:sz w:val="24"/>
        </w:rPr>
        <w:t xml:space="preserve"> in 1774, and the Chester County PA rural occupation mix of non-farmers in 1800 to the rest of New England 1774. Next, we noted the share of households that the 1771 return</w:t>
      </w:r>
      <w:r w:rsidR="002D27F8" w:rsidRPr="005F764F">
        <w:rPr>
          <w:rFonts w:ascii="Times New Roman" w:hAnsi="Times New Roman" w:cs="Times New Roman"/>
          <w:color w:val="000000" w:themeColor="text1"/>
          <w:sz w:val="24"/>
        </w:rPr>
        <w:t>s</w:t>
      </w:r>
      <w:r w:rsidR="001931AE" w:rsidRPr="005F764F">
        <w:rPr>
          <w:rFonts w:ascii="Times New Roman" w:hAnsi="Times New Roman" w:cs="Times New Roman"/>
          <w:color w:val="000000" w:themeColor="text1"/>
          <w:sz w:val="24"/>
        </w:rPr>
        <w:t xml:space="preserve"> implied had zero wealth. Finally, we added the estimated number of households missed by the 1771 tax lists altogether. </w:t>
      </w:r>
      <w:r w:rsidR="007219CA" w:rsidRPr="005F764F">
        <w:rPr>
          <w:rFonts w:ascii="Times New Roman" w:hAnsi="Times New Roman" w:cs="Times New Roman"/>
          <w:color w:val="000000" w:themeColor="text1"/>
          <w:sz w:val="24"/>
        </w:rPr>
        <w:t>(</w:t>
      </w:r>
      <w:r w:rsidR="007E2D25" w:rsidRPr="005F764F">
        <w:rPr>
          <w:rFonts w:ascii="Times New Roman" w:hAnsi="Times New Roman" w:cs="Times New Roman"/>
          <w:color w:val="000000" w:themeColor="text1"/>
          <w:sz w:val="24"/>
        </w:rPr>
        <w:t xml:space="preserve">The numbers with zero wealth might be a bit </w:t>
      </w:r>
      <w:r w:rsidR="005E059C" w:rsidRPr="005F764F">
        <w:rPr>
          <w:rFonts w:ascii="Times New Roman" w:hAnsi="Times New Roman" w:cs="Times New Roman"/>
          <w:color w:val="000000" w:themeColor="text1"/>
          <w:sz w:val="24"/>
        </w:rPr>
        <w:t xml:space="preserve">too </w:t>
      </w:r>
      <w:r w:rsidR="007E2D25" w:rsidRPr="005F764F">
        <w:rPr>
          <w:rFonts w:ascii="Times New Roman" w:hAnsi="Times New Roman" w:cs="Times New Roman"/>
          <w:color w:val="000000" w:themeColor="text1"/>
          <w:sz w:val="24"/>
        </w:rPr>
        <w:t xml:space="preserve">large, </w:t>
      </w:r>
      <w:r w:rsidR="005E059C" w:rsidRPr="005F764F">
        <w:rPr>
          <w:rFonts w:ascii="Times New Roman" w:hAnsi="Times New Roman" w:cs="Times New Roman"/>
          <w:color w:val="000000" w:themeColor="text1"/>
          <w:sz w:val="24"/>
        </w:rPr>
        <w:t>understating the property income of the poorer New England groups.</w:t>
      </w:r>
      <w:r w:rsidR="007219CA" w:rsidRPr="005F764F">
        <w:rPr>
          <w:rFonts w:ascii="Times New Roman" w:hAnsi="Times New Roman" w:cs="Times New Roman"/>
          <w:color w:val="000000" w:themeColor="text1"/>
          <w:sz w:val="24"/>
        </w:rPr>
        <w:t>)</w:t>
      </w:r>
      <w:r w:rsidR="005E059C" w:rsidRPr="005F764F">
        <w:rPr>
          <w:rFonts w:ascii="Times New Roman" w:hAnsi="Times New Roman" w:cs="Times New Roman"/>
          <w:color w:val="000000" w:themeColor="text1"/>
          <w:sz w:val="24"/>
        </w:rPr>
        <w:t xml:space="preserve"> </w:t>
      </w:r>
      <w:r w:rsidR="007219CA" w:rsidRPr="005F764F">
        <w:rPr>
          <w:rFonts w:ascii="Times New Roman" w:hAnsi="Times New Roman" w:cs="Times New Roman"/>
          <w:color w:val="000000" w:themeColor="text1"/>
          <w:sz w:val="24"/>
        </w:rPr>
        <w:t>See the Excel file “Property 1774, New Eng”.</w:t>
      </w:r>
    </w:p>
    <w:p w:rsidR="008B6477" w:rsidRPr="005F764F" w:rsidRDefault="008B6477" w:rsidP="008B6477">
      <w:pPr>
        <w:rPr>
          <w:rFonts w:ascii="Times New Roman" w:hAnsi="Times New Roman"/>
          <w:sz w:val="24"/>
        </w:rPr>
      </w:pPr>
    </w:p>
    <w:p w:rsidR="007219CA" w:rsidRPr="005F764F" w:rsidRDefault="00FB468D" w:rsidP="008B6477">
      <w:pPr>
        <w:rPr>
          <w:rFonts w:ascii="Times New Roman" w:hAnsi="Times New Roman"/>
          <w:sz w:val="24"/>
        </w:rPr>
      </w:pPr>
      <w:r w:rsidRPr="005F764F">
        <w:rPr>
          <w:rFonts w:ascii="Times New Roman" w:hAnsi="Times New Roman"/>
          <w:sz w:val="24"/>
        </w:rPr>
        <w:t>For the Middle C</w:t>
      </w:r>
      <w:r w:rsidR="008B6477" w:rsidRPr="005F764F">
        <w:rPr>
          <w:rFonts w:ascii="Times New Roman" w:hAnsi="Times New Roman"/>
          <w:sz w:val="24"/>
        </w:rPr>
        <w:t>olonies, we used the mix of sources described in Appendix 1, i.e. census materials, Billy Gordon Smith’s detailed coverage of Philadelphia, Lancaster for small towns, and rural Chester County for the countryside.  Our resulting</w:t>
      </w:r>
      <w:r w:rsidR="00E03253" w:rsidRPr="005F764F">
        <w:rPr>
          <w:rFonts w:ascii="Times New Roman" w:hAnsi="Times New Roman"/>
          <w:sz w:val="24"/>
        </w:rPr>
        <w:t xml:space="preserve"> mix differs from that of Alice Hanson Jones in ways that </w:t>
      </w:r>
      <w:r w:rsidRPr="005F764F">
        <w:rPr>
          <w:rFonts w:ascii="Times New Roman" w:hAnsi="Times New Roman"/>
          <w:sz w:val="24"/>
        </w:rPr>
        <w:t xml:space="preserve">have </w:t>
      </w:r>
      <w:r w:rsidR="00E03253" w:rsidRPr="005F764F">
        <w:rPr>
          <w:rFonts w:ascii="Times New Roman" w:hAnsi="Times New Roman"/>
          <w:sz w:val="24"/>
        </w:rPr>
        <w:t>raise</w:t>
      </w:r>
      <w:r w:rsidR="00652330" w:rsidRPr="005F764F">
        <w:rPr>
          <w:rFonts w:ascii="Times New Roman" w:hAnsi="Times New Roman"/>
          <w:sz w:val="24"/>
        </w:rPr>
        <w:t>d</w:t>
      </w:r>
      <w:r w:rsidR="00E03253" w:rsidRPr="005F764F">
        <w:rPr>
          <w:rFonts w:ascii="Times New Roman" w:hAnsi="Times New Roman"/>
          <w:sz w:val="24"/>
        </w:rPr>
        <w:t xml:space="preserve"> inequality</w:t>
      </w:r>
      <w:r w:rsidRPr="005F764F">
        <w:rPr>
          <w:rFonts w:ascii="Times New Roman" w:hAnsi="Times New Roman"/>
          <w:sz w:val="24"/>
        </w:rPr>
        <w:t xml:space="preserve"> and lowered aggregate income</w:t>
      </w:r>
      <w:r w:rsidR="00E03253" w:rsidRPr="005F764F">
        <w:rPr>
          <w:rFonts w:ascii="Times New Roman" w:hAnsi="Times New Roman"/>
          <w:sz w:val="24"/>
        </w:rPr>
        <w:t xml:space="preserve">.  Given information that became conveniently available only after 1980, </w:t>
      </w:r>
      <w:r w:rsidRPr="005F764F">
        <w:rPr>
          <w:rFonts w:ascii="Times New Roman" w:hAnsi="Times New Roman"/>
          <w:sz w:val="24"/>
        </w:rPr>
        <w:t xml:space="preserve">we derive a non-city mix of occupations that shifts households away </w:t>
      </w:r>
      <w:r w:rsidR="0006662A" w:rsidRPr="005F764F">
        <w:rPr>
          <w:rFonts w:ascii="Times New Roman" w:hAnsi="Times New Roman"/>
          <w:sz w:val="24"/>
        </w:rPr>
        <w:t>from middling farmers to less</w:t>
      </w:r>
      <w:r w:rsidRPr="005F764F">
        <w:rPr>
          <w:rFonts w:ascii="Times New Roman" w:hAnsi="Times New Roman"/>
          <w:sz w:val="24"/>
        </w:rPr>
        <w:t xml:space="preserve"> </w:t>
      </w:r>
      <w:r w:rsidR="0006662A" w:rsidRPr="005F764F">
        <w:rPr>
          <w:rFonts w:ascii="Times New Roman" w:hAnsi="Times New Roman"/>
          <w:sz w:val="24"/>
        </w:rPr>
        <w:t>wealthy craftsmen, laborers, and males with no given occupation.</w:t>
      </w:r>
      <w:r w:rsidR="007219CA" w:rsidRPr="005F764F">
        <w:rPr>
          <w:rFonts w:ascii="Times New Roman" w:hAnsi="Times New Roman"/>
          <w:sz w:val="24"/>
        </w:rPr>
        <w:t xml:space="preserve">  See the Excel file “Property 1774, MidCols”, worksheets (5) and (6).</w:t>
      </w:r>
    </w:p>
    <w:p w:rsidR="002635FE" w:rsidRPr="005F764F" w:rsidRDefault="007219CA" w:rsidP="008B6477">
      <w:pPr>
        <w:rPr>
          <w:rFonts w:ascii="Times New Roman" w:hAnsi="Times New Roman"/>
          <w:sz w:val="24"/>
        </w:rPr>
      </w:pPr>
      <w:r w:rsidRPr="005F764F">
        <w:rPr>
          <w:rFonts w:ascii="Times New Roman" w:hAnsi="Times New Roman"/>
          <w:sz w:val="24"/>
        </w:rPr>
        <w:t>Aggregating occupations and property is particularly complicated for the Middle Colonies because of sampling constraints imposed on Alice Jones’s probate research. She could collect only 23 probates for New York.  This forced her to synthesize New York by giving only 1/10 weight to these 23 cases, and borrowing the rest of the wealth distribution from patterns revealed in her other three Middle Colonies (NJ, PA, DE) and the wealth distribution f</w:t>
      </w:r>
      <w:r w:rsidR="002D27F8" w:rsidRPr="005F764F">
        <w:rPr>
          <w:rFonts w:ascii="Times New Roman" w:hAnsi="Times New Roman"/>
          <w:sz w:val="24"/>
        </w:rPr>
        <w:t>r</w:t>
      </w:r>
      <w:r w:rsidRPr="005F764F">
        <w:rPr>
          <w:rFonts w:ascii="Times New Roman" w:hAnsi="Times New Roman"/>
          <w:sz w:val="24"/>
        </w:rPr>
        <w:t xml:space="preserve">om New England.  </w:t>
      </w:r>
      <w:r w:rsidR="002635FE" w:rsidRPr="005F764F">
        <w:rPr>
          <w:rFonts w:ascii="Times New Roman" w:hAnsi="Times New Roman"/>
          <w:sz w:val="24"/>
        </w:rPr>
        <w:t xml:space="preserve">We </w:t>
      </w:r>
      <w:r w:rsidR="0022029A" w:rsidRPr="005F764F">
        <w:rPr>
          <w:rFonts w:ascii="Times New Roman" w:hAnsi="Times New Roman"/>
          <w:sz w:val="24"/>
        </w:rPr>
        <w:t>inherit</w:t>
      </w:r>
      <w:r w:rsidR="002635FE" w:rsidRPr="005F764F">
        <w:rPr>
          <w:rFonts w:ascii="Times New Roman" w:hAnsi="Times New Roman"/>
          <w:sz w:val="24"/>
        </w:rPr>
        <w:t xml:space="preserve"> her difficulties here, and our combining New York with the other three Middle Colonies was </w:t>
      </w:r>
      <w:r w:rsidR="0022029A" w:rsidRPr="005F764F">
        <w:rPr>
          <w:rFonts w:ascii="Times New Roman" w:hAnsi="Times New Roman"/>
          <w:sz w:val="24"/>
        </w:rPr>
        <w:t xml:space="preserve">a </w:t>
      </w:r>
      <w:r w:rsidR="002635FE" w:rsidRPr="005F764F">
        <w:rPr>
          <w:rFonts w:ascii="Times New Roman" w:hAnsi="Times New Roman"/>
          <w:sz w:val="24"/>
        </w:rPr>
        <w:t>laborious</w:t>
      </w:r>
      <w:r w:rsidR="0022029A" w:rsidRPr="005F764F">
        <w:rPr>
          <w:rFonts w:ascii="Times New Roman" w:hAnsi="Times New Roman"/>
          <w:sz w:val="24"/>
        </w:rPr>
        <w:t xml:space="preserve"> task</w:t>
      </w:r>
      <w:r w:rsidR="002635FE" w:rsidRPr="005F764F">
        <w:rPr>
          <w:rFonts w:ascii="Times New Roman" w:hAnsi="Times New Roman"/>
          <w:sz w:val="24"/>
        </w:rPr>
        <w:t xml:space="preserve">. See “Property 1774, MidCols”, worksheets (5) – (10).  </w:t>
      </w:r>
    </w:p>
    <w:p w:rsidR="0022029A" w:rsidRPr="005F764F" w:rsidRDefault="002635FE" w:rsidP="008B6477">
      <w:pPr>
        <w:rPr>
          <w:rFonts w:ascii="Times New Roman" w:hAnsi="Times New Roman"/>
          <w:sz w:val="24"/>
        </w:rPr>
      </w:pPr>
      <w:r w:rsidRPr="005F764F">
        <w:rPr>
          <w:rFonts w:ascii="Times New Roman" w:hAnsi="Times New Roman"/>
          <w:sz w:val="24"/>
        </w:rPr>
        <w:t xml:space="preserve">A further complication for comparisons of 1774 with nineteenth-century benchmarks was </w:t>
      </w:r>
      <w:r w:rsidR="002D27F8" w:rsidRPr="005F764F">
        <w:rPr>
          <w:rFonts w:ascii="Times New Roman" w:hAnsi="Times New Roman"/>
          <w:sz w:val="24"/>
        </w:rPr>
        <w:t>Jones’</w:t>
      </w:r>
      <w:r w:rsidR="00487BD3" w:rsidRPr="005F764F">
        <w:rPr>
          <w:rFonts w:ascii="Times New Roman" w:hAnsi="Times New Roman"/>
          <w:sz w:val="24"/>
        </w:rPr>
        <w:t>s</w:t>
      </w:r>
      <w:r w:rsidR="002D27F8" w:rsidRPr="005F764F">
        <w:rPr>
          <w:rFonts w:ascii="Times New Roman" w:hAnsi="Times New Roman"/>
          <w:sz w:val="24"/>
        </w:rPr>
        <w:t xml:space="preserve"> </w:t>
      </w:r>
      <w:r w:rsidRPr="005F764F">
        <w:rPr>
          <w:rFonts w:ascii="Times New Roman" w:hAnsi="Times New Roman"/>
          <w:sz w:val="24"/>
        </w:rPr>
        <w:t xml:space="preserve">decision to put Delaware into the Middle Colonies instead of putting it in the South Atlantic, where it belongs in all later census aggregations by region.  </w:t>
      </w:r>
      <w:r w:rsidR="0022029A" w:rsidRPr="005F764F">
        <w:rPr>
          <w:rFonts w:ascii="Times New Roman" w:hAnsi="Times New Roman"/>
          <w:sz w:val="24"/>
        </w:rPr>
        <w:t>O</w:t>
      </w:r>
      <w:r w:rsidRPr="005F764F">
        <w:rPr>
          <w:rFonts w:ascii="Times New Roman" w:hAnsi="Times New Roman"/>
          <w:sz w:val="24"/>
        </w:rPr>
        <w:t xml:space="preserve">ur files present alternative regional results for 1800, with Delaware first in one region and then in another. </w:t>
      </w:r>
    </w:p>
    <w:p w:rsidR="00D91CB4" w:rsidRPr="005F764F" w:rsidRDefault="00055172" w:rsidP="008B6477">
      <w:pPr>
        <w:rPr>
          <w:rFonts w:ascii="Times New Roman" w:hAnsi="Times New Roman"/>
          <w:sz w:val="24"/>
        </w:rPr>
      </w:pPr>
      <w:r w:rsidRPr="005F764F">
        <w:rPr>
          <w:rFonts w:ascii="Times New Roman" w:hAnsi="Times New Roman"/>
          <w:sz w:val="24"/>
        </w:rPr>
        <w:t>In the South in 1774, we again find that today’s information set allows us to make several adjustments to Jones’s weighting scheme.  First, the available census clues suggest that she gave Charleston too muc</w:t>
      </w:r>
      <w:r w:rsidR="00CD26DA" w:rsidRPr="005F764F">
        <w:rPr>
          <w:rFonts w:ascii="Times New Roman" w:hAnsi="Times New Roman"/>
          <w:sz w:val="24"/>
        </w:rPr>
        <w:t>h weight as a share of the South: h</w:t>
      </w:r>
      <w:r w:rsidRPr="005F764F">
        <w:rPr>
          <w:rFonts w:ascii="Times New Roman" w:hAnsi="Times New Roman"/>
          <w:sz w:val="24"/>
        </w:rPr>
        <w:t>er 4.9% Charleston share should have been only 2.6%</w:t>
      </w:r>
      <w:r w:rsidR="00CD26DA" w:rsidRPr="005F764F">
        <w:rPr>
          <w:rFonts w:ascii="Times New Roman" w:hAnsi="Times New Roman"/>
          <w:sz w:val="24"/>
        </w:rPr>
        <w:t xml:space="preserve">. Second, her probate sample gave greater weight to </w:t>
      </w:r>
      <w:r w:rsidR="00E64B42" w:rsidRPr="005F764F">
        <w:rPr>
          <w:rFonts w:ascii="Times New Roman" w:hAnsi="Times New Roman"/>
          <w:sz w:val="24"/>
        </w:rPr>
        <w:t>the wealthier classes, even after she tried to adjust for this with her w*B weights.  From tax rolls in three North Carolina counties, we find lower shares of those owning land and/or slaves than in her probates.  We have adjusted her weights accordingly</w:t>
      </w:r>
      <w:r w:rsidR="0097697F" w:rsidRPr="005F764F">
        <w:rPr>
          <w:rFonts w:ascii="Times New Roman" w:hAnsi="Times New Roman"/>
          <w:sz w:val="24"/>
        </w:rPr>
        <w:t>, causing a reduction in average property income for the South</w:t>
      </w:r>
      <w:r w:rsidR="00E64B42" w:rsidRPr="005F764F">
        <w:rPr>
          <w:rFonts w:ascii="Times New Roman" w:hAnsi="Times New Roman"/>
          <w:sz w:val="24"/>
        </w:rPr>
        <w:t xml:space="preserve">. See the Excel file “Property 1774 South”, worksheet (3).  </w:t>
      </w:r>
    </w:p>
    <w:p w:rsidR="00CC26F1" w:rsidRPr="005F764F" w:rsidRDefault="00CC26F1" w:rsidP="008B6477">
      <w:pPr>
        <w:rPr>
          <w:rFonts w:ascii="Times New Roman" w:hAnsi="Times New Roman"/>
          <w:sz w:val="24"/>
        </w:rPr>
      </w:pPr>
      <w:r w:rsidRPr="005F764F">
        <w:rPr>
          <w:rFonts w:ascii="Times New Roman" w:hAnsi="Times New Roman"/>
          <w:b/>
          <w:sz w:val="24"/>
          <w:u w:val="single"/>
        </w:rPr>
        <w:t>Rates of return</w:t>
      </w:r>
      <w:r w:rsidR="007C660A" w:rsidRPr="005F764F">
        <w:rPr>
          <w:rFonts w:ascii="Times New Roman" w:hAnsi="Times New Roman"/>
          <w:b/>
          <w:sz w:val="24"/>
          <w:u w:val="single"/>
        </w:rPr>
        <w:t xml:space="preserve"> for 1774</w:t>
      </w:r>
      <w:r w:rsidRPr="005F764F">
        <w:rPr>
          <w:rFonts w:ascii="Times New Roman" w:hAnsi="Times New Roman"/>
          <w:sz w:val="24"/>
        </w:rPr>
        <w:t>:</w:t>
      </w:r>
    </w:p>
    <w:p w:rsidR="0097697F" w:rsidRPr="005F764F" w:rsidRDefault="00CC26F1" w:rsidP="008B6477">
      <w:pPr>
        <w:rPr>
          <w:rFonts w:ascii="Times New Roman" w:hAnsi="Times New Roman"/>
          <w:sz w:val="24"/>
        </w:rPr>
      </w:pPr>
      <w:r w:rsidRPr="005F764F">
        <w:rPr>
          <w:rFonts w:ascii="Times New Roman" w:hAnsi="Times New Roman"/>
          <w:sz w:val="24"/>
        </w:rPr>
        <w:t>Deriving estimates of property incomes from data on property asset values requires knowing</w:t>
      </w:r>
      <w:r w:rsidR="002D27F8" w:rsidRPr="005F764F">
        <w:rPr>
          <w:rFonts w:ascii="Times New Roman" w:hAnsi="Times New Roman"/>
          <w:sz w:val="24"/>
        </w:rPr>
        <w:t xml:space="preserve"> the rate of return defined as = </w:t>
      </w:r>
      <w:r w:rsidRPr="005F764F">
        <w:rPr>
          <w:rFonts w:ascii="Times New Roman" w:hAnsi="Times New Roman"/>
          <w:sz w:val="24"/>
        </w:rPr>
        <w:t>current income/asset value.  While the net rate of return might be inferred from the</w:t>
      </w:r>
      <w:r w:rsidR="00F06B5B" w:rsidRPr="005F764F">
        <w:rPr>
          <w:rFonts w:ascii="Times New Roman" w:hAnsi="Times New Roman"/>
          <w:sz w:val="24"/>
        </w:rPr>
        <w:t xml:space="preserve"> historical</w:t>
      </w:r>
      <w:r w:rsidRPr="005F764F">
        <w:rPr>
          <w:rFonts w:ascii="Times New Roman" w:hAnsi="Times New Roman"/>
          <w:sz w:val="24"/>
        </w:rPr>
        <w:t xml:space="preserve"> rates on alternate assets, such as bonds, </w:t>
      </w:r>
      <w:r w:rsidR="00757AD6" w:rsidRPr="005F764F">
        <w:rPr>
          <w:rFonts w:ascii="Times New Roman" w:hAnsi="Times New Roman"/>
          <w:sz w:val="24"/>
        </w:rPr>
        <w:t xml:space="preserve">a more difficult task is to choose depreciation rates (alias capital consumption allowance) on different assets, for the purpose of deriving gross incomes and gross domestic product. Here "income" is restricted to that </w:t>
      </w:r>
      <w:r w:rsidR="002D27F8" w:rsidRPr="005F764F">
        <w:rPr>
          <w:rFonts w:ascii="Times New Roman" w:hAnsi="Times New Roman"/>
          <w:sz w:val="24"/>
        </w:rPr>
        <w:t xml:space="preserve">which </w:t>
      </w:r>
      <w:r w:rsidR="00757AD6" w:rsidRPr="005F764F">
        <w:rPr>
          <w:rFonts w:ascii="Times New Roman" w:hAnsi="Times New Roman"/>
          <w:sz w:val="24"/>
        </w:rPr>
        <w:t>would appear in the National Income and Product Accounts.  We have very little historical information on depreciation rates.  Table A3.1</w:t>
      </w:r>
      <w:r w:rsidR="00487BD3" w:rsidRPr="005F764F">
        <w:rPr>
          <w:rFonts w:ascii="Times New Roman" w:hAnsi="Times New Roman"/>
          <w:sz w:val="24"/>
        </w:rPr>
        <w:t>,</w:t>
      </w:r>
      <w:r w:rsidR="00757AD6" w:rsidRPr="005F764F">
        <w:rPr>
          <w:rFonts w:ascii="Times New Roman" w:hAnsi="Times New Roman"/>
          <w:sz w:val="24"/>
        </w:rPr>
        <w:t xml:space="preserve"> </w:t>
      </w:r>
      <w:r w:rsidR="002D27F8" w:rsidRPr="005F764F">
        <w:rPr>
          <w:rFonts w:ascii="Times New Roman" w:hAnsi="Times New Roman"/>
          <w:sz w:val="24"/>
        </w:rPr>
        <w:t>which immediately follows</w:t>
      </w:r>
      <w:r w:rsidR="00487BD3" w:rsidRPr="005F764F">
        <w:rPr>
          <w:rFonts w:ascii="Times New Roman" w:hAnsi="Times New Roman"/>
          <w:sz w:val="24"/>
        </w:rPr>
        <w:t>,</w:t>
      </w:r>
      <w:r w:rsidR="002D27F8" w:rsidRPr="005F764F">
        <w:rPr>
          <w:rFonts w:ascii="Times New Roman" w:hAnsi="Times New Roman"/>
          <w:sz w:val="24"/>
        </w:rPr>
        <w:t xml:space="preserve"> </w:t>
      </w:r>
      <w:r w:rsidR="00757AD6" w:rsidRPr="005F764F">
        <w:rPr>
          <w:rFonts w:ascii="Times New Roman" w:hAnsi="Times New Roman"/>
          <w:sz w:val="24"/>
        </w:rPr>
        <w:t>presents out best guesses for 1774.</w:t>
      </w:r>
    </w:p>
    <w:p w:rsidR="00F06B5B" w:rsidRPr="005F764F" w:rsidRDefault="0097697F" w:rsidP="00757AD6">
      <w:pPr>
        <w:rPr>
          <w:rFonts w:ascii="Times New Roman" w:hAnsi="Times New Roman"/>
          <w:sz w:val="24"/>
        </w:rPr>
      </w:pPr>
      <w:r w:rsidRPr="005F764F">
        <w:rPr>
          <w:rFonts w:ascii="Times New Roman" w:hAnsi="Times New Roman"/>
          <w:b/>
          <w:sz w:val="24"/>
        </w:rPr>
        <w:t>Table A3.1.</w:t>
      </w:r>
      <w:r w:rsidRPr="005F764F">
        <w:rPr>
          <w:rFonts w:ascii="Times New Roman" w:hAnsi="Times New Roman"/>
          <w:sz w:val="24"/>
        </w:rPr>
        <w:t xml:space="preserve">  Assumed rates of </w:t>
      </w:r>
      <w:r w:rsidR="00F06B5B" w:rsidRPr="005F764F">
        <w:rPr>
          <w:rFonts w:ascii="Times New Roman" w:hAnsi="Times New Roman"/>
          <w:sz w:val="24"/>
        </w:rPr>
        <w:t xml:space="preserve">annual </w:t>
      </w:r>
      <w:r w:rsidRPr="005F764F">
        <w:rPr>
          <w:rFonts w:ascii="Times New Roman" w:hAnsi="Times New Roman"/>
          <w:sz w:val="24"/>
        </w:rPr>
        <w:t xml:space="preserve">income, as % </w:t>
      </w:r>
      <w:r w:rsidR="00757AD6" w:rsidRPr="005F764F">
        <w:rPr>
          <w:rFonts w:ascii="Times New Roman" w:hAnsi="Times New Roman"/>
          <w:sz w:val="24"/>
        </w:rPr>
        <w:t>of weal</w:t>
      </w:r>
      <w:r w:rsidR="00711773" w:rsidRPr="005F764F">
        <w:rPr>
          <w:rFonts w:ascii="Times New Roman" w:hAnsi="Times New Roman"/>
          <w:sz w:val="24"/>
        </w:rPr>
        <w:t>th value, by asset type</w:t>
      </w:r>
    </w:p>
    <w:p w:rsidR="0097697F" w:rsidRPr="005F764F" w:rsidRDefault="00F06B5B" w:rsidP="00757AD6">
      <w:pPr>
        <w:rPr>
          <w:rFonts w:ascii="Times New Roman" w:hAnsi="Times New Roman"/>
          <w:sz w:val="24"/>
        </w:rPr>
      </w:pPr>
      <w:r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ab/>
      </w:r>
      <w:r w:rsidRPr="005F764F">
        <w:rPr>
          <w:rFonts w:ascii="Times New Roman" w:hAnsi="Times New Roman"/>
          <w:sz w:val="24"/>
        </w:rPr>
        <w:t xml:space="preserve">  </w:t>
      </w:r>
      <w:r w:rsidR="00757AD6" w:rsidRPr="005F764F">
        <w:rPr>
          <w:rFonts w:ascii="Times New Roman" w:hAnsi="Times New Roman"/>
          <w:sz w:val="24"/>
        </w:rPr>
        <w:t>Interest</w:t>
      </w:r>
      <w:r w:rsidRPr="005F764F">
        <w:rPr>
          <w:rFonts w:ascii="Times New Roman" w:hAnsi="Times New Roman"/>
          <w:sz w:val="24"/>
        </w:rPr>
        <w:t xml:space="preserve"> </w:t>
      </w:r>
      <w:r w:rsidR="00757AD6" w:rsidRPr="005F764F">
        <w:rPr>
          <w:rFonts w:ascii="Times New Roman" w:hAnsi="Times New Roman"/>
          <w:sz w:val="24"/>
        </w:rPr>
        <w:t xml:space="preserve">+ </w:t>
      </w:r>
      <w:r w:rsidR="00205336" w:rsidRPr="005F764F">
        <w:rPr>
          <w:rFonts w:ascii="Times New Roman" w:hAnsi="Times New Roman"/>
          <w:sz w:val="24"/>
        </w:rPr>
        <w:t xml:space="preserve">Depreciation    = </w:t>
      </w:r>
      <w:r w:rsidR="0097697F" w:rsidRPr="005F764F">
        <w:rPr>
          <w:rFonts w:ascii="Times New Roman" w:hAnsi="Times New Roman"/>
          <w:sz w:val="24"/>
        </w:rPr>
        <w:t>Gross rate</w:t>
      </w:r>
      <w:r w:rsidR="0097697F" w:rsidRPr="005F764F">
        <w:rPr>
          <w:rFonts w:ascii="Times New Roman" w:hAnsi="Times New Roman"/>
          <w:sz w:val="24"/>
        </w:rPr>
        <w:tab/>
      </w:r>
    </w:p>
    <w:p w:rsidR="0097697F"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Financial Assets</w:t>
      </w:r>
      <w:r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t>0</w:t>
      </w:r>
      <w:r w:rsidR="0097697F"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r>
    </w:p>
    <w:p w:rsidR="0097697F"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Servants and Slaves</w:t>
      </w:r>
      <w:r w:rsidRPr="005F764F">
        <w:rPr>
          <w:rFonts w:ascii="Times New Roman" w:hAnsi="Times New Roman"/>
          <w:sz w:val="24"/>
        </w:rPr>
        <w:tab/>
      </w:r>
      <w:r w:rsidRPr="005F764F">
        <w:rPr>
          <w:rFonts w:ascii="Times New Roman" w:hAnsi="Times New Roman"/>
          <w:sz w:val="24"/>
        </w:rPr>
        <w:tab/>
        <w:t>6</w:t>
      </w:r>
      <w:r w:rsidRPr="005F764F">
        <w:rPr>
          <w:rFonts w:ascii="Times New Roman" w:hAnsi="Times New Roman"/>
          <w:sz w:val="24"/>
        </w:rPr>
        <w:tab/>
        <w:t>5</w:t>
      </w:r>
      <w:r w:rsidR="0097697F"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11</w:t>
      </w:r>
      <w:r w:rsidR="0097697F" w:rsidRPr="005F764F">
        <w:rPr>
          <w:rFonts w:ascii="Times New Roman" w:hAnsi="Times New Roman"/>
          <w:sz w:val="24"/>
        </w:rPr>
        <w:tab/>
      </w:r>
    </w:p>
    <w:p w:rsidR="0097697F"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Producers' Durables</w:t>
      </w:r>
      <w:r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t>10</w:t>
      </w:r>
      <w:r w:rsidR="0097697F"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16</w:t>
      </w:r>
      <w:r w:rsidR="0097697F" w:rsidRPr="005F764F">
        <w:rPr>
          <w:rFonts w:ascii="Times New Roman" w:hAnsi="Times New Roman"/>
          <w:sz w:val="24"/>
        </w:rPr>
        <w:tab/>
      </w:r>
    </w:p>
    <w:p w:rsidR="0097697F"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Producers' Perishables</w:t>
      </w:r>
      <w:r w:rsidRPr="005F764F">
        <w:rPr>
          <w:rFonts w:ascii="Times New Roman" w:hAnsi="Times New Roman"/>
          <w:sz w:val="24"/>
        </w:rPr>
        <w:tab/>
      </w:r>
      <w:r w:rsidRPr="005F764F">
        <w:rPr>
          <w:rFonts w:ascii="Times New Roman" w:hAnsi="Times New Roman"/>
          <w:sz w:val="24"/>
        </w:rPr>
        <w:tab/>
        <w:t>6</w:t>
      </w:r>
      <w:r w:rsidRPr="005F764F">
        <w:rPr>
          <w:rFonts w:ascii="Times New Roman" w:hAnsi="Times New Roman"/>
          <w:sz w:val="24"/>
        </w:rPr>
        <w:tab/>
        <w:t>0</w:t>
      </w:r>
      <w:r w:rsidR="0097697F" w:rsidRPr="005F764F">
        <w:rPr>
          <w:rFonts w:ascii="Times New Roman" w:hAnsi="Times New Roman"/>
          <w:sz w:val="24"/>
        </w:rPr>
        <w:tab/>
      </w:r>
      <w:r w:rsidRPr="005F764F">
        <w:rPr>
          <w:rFonts w:ascii="Times New Roman" w:hAnsi="Times New Roman"/>
          <w:sz w:val="24"/>
        </w:rPr>
        <w:tab/>
        <w:t>6</w:t>
      </w:r>
    </w:p>
    <w:p w:rsidR="0097697F"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Business Inventory</w:t>
      </w:r>
      <w:r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t>0</w:t>
      </w:r>
      <w:r w:rsidR="0097697F"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r>
    </w:p>
    <w:p w:rsidR="0097697F"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Liabilities</w:t>
      </w:r>
      <w:r w:rsidRPr="005F764F">
        <w:rPr>
          <w:rFonts w:ascii="Times New Roman" w:hAnsi="Times New Roman"/>
          <w:sz w:val="24"/>
        </w:rPr>
        <w:tab/>
      </w:r>
      <w:r w:rsidRPr="005F764F">
        <w:rPr>
          <w:rFonts w:ascii="Times New Roman" w:hAnsi="Times New Roman"/>
          <w:sz w:val="24"/>
        </w:rPr>
        <w:tab/>
      </w:r>
      <w:r w:rsidRPr="005F764F">
        <w:rPr>
          <w:rFonts w:ascii="Times New Roman" w:hAnsi="Times New Roman"/>
          <w:sz w:val="24"/>
        </w:rPr>
        <w:tab/>
        <w:t>0</w:t>
      </w:r>
      <w:r w:rsidRPr="005F764F">
        <w:rPr>
          <w:rFonts w:ascii="Times New Roman" w:hAnsi="Times New Roman"/>
          <w:sz w:val="24"/>
        </w:rPr>
        <w:tab/>
        <w:t>0</w:t>
      </w:r>
      <w:r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0</w:t>
      </w:r>
      <w:r w:rsidR="0097697F" w:rsidRPr="005F764F">
        <w:rPr>
          <w:rFonts w:ascii="Times New Roman" w:hAnsi="Times New Roman"/>
          <w:sz w:val="24"/>
        </w:rPr>
        <w:tab/>
      </w:r>
    </w:p>
    <w:p w:rsidR="00757AD6" w:rsidRPr="005F764F" w:rsidRDefault="00757AD6" w:rsidP="00F06B5B">
      <w:pPr>
        <w:spacing w:line="240" w:lineRule="auto"/>
        <w:contextualSpacing/>
        <w:rPr>
          <w:rFonts w:ascii="Times New Roman" w:hAnsi="Times New Roman"/>
          <w:sz w:val="24"/>
        </w:rPr>
      </w:pPr>
      <w:r w:rsidRPr="005F764F">
        <w:rPr>
          <w:rFonts w:ascii="Times New Roman" w:hAnsi="Times New Roman"/>
          <w:sz w:val="24"/>
        </w:rPr>
        <w:t xml:space="preserve">Real Estate (assume capital </w:t>
      </w:r>
      <w:r w:rsidR="00F06B5B" w:rsidRPr="005F764F">
        <w:rPr>
          <w:rFonts w:ascii="Times New Roman" w:hAnsi="Times New Roman"/>
          <w:sz w:val="24"/>
        </w:rPr>
        <w:t xml:space="preserve">gains = </w:t>
      </w:r>
    </w:p>
    <w:p w:rsidR="0097697F" w:rsidRPr="005F764F" w:rsidRDefault="00F06B5B" w:rsidP="00F06B5B">
      <w:pPr>
        <w:spacing w:line="240" w:lineRule="auto"/>
        <w:contextualSpacing/>
        <w:rPr>
          <w:rFonts w:ascii="Times New Roman" w:hAnsi="Times New Roman"/>
          <w:sz w:val="24"/>
        </w:rPr>
      </w:pPr>
      <w:r w:rsidRPr="005F764F">
        <w:rPr>
          <w:rFonts w:ascii="Times New Roman" w:hAnsi="Times New Roman"/>
          <w:sz w:val="24"/>
        </w:rPr>
        <w:tab/>
        <w:t>depreciation cost)</w:t>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t>0</w:t>
      </w:r>
      <w:r w:rsidR="0097697F" w:rsidRPr="005F764F">
        <w:rPr>
          <w:rFonts w:ascii="Times New Roman" w:hAnsi="Times New Roman"/>
          <w:sz w:val="24"/>
        </w:rPr>
        <w:tab/>
      </w:r>
      <w:r w:rsidR="00757AD6"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r>
    </w:p>
    <w:p w:rsidR="0097697F" w:rsidRPr="005F764F" w:rsidRDefault="0097697F" w:rsidP="00F06B5B">
      <w:pPr>
        <w:spacing w:line="240" w:lineRule="auto"/>
        <w:contextualSpacing/>
        <w:rPr>
          <w:rFonts w:ascii="Times New Roman" w:hAnsi="Times New Roman"/>
          <w:sz w:val="24"/>
        </w:rPr>
      </w:pPr>
      <w:r w:rsidRPr="005F764F">
        <w:rPr>
          <w:rFonts w:ascii="Times New Roman" w:hAnsi="Times New Roman"/>
          <w:sz w:val="24"/>
        </w:rPr>
        <w:t>Livestock</w:t>
      </w:r>
      <w:r w:rsidRPr="005F764F">
        <w:rPr>
          <w:rFonts w:ascii="Times New Roman" w:hAnsi="Times New Roman"/>
          <w:sz w:val="24"/>
        </w:rPr>
        <w:tab/>
      </w:r>
      <w:r w:rsidRPr="005F764F">
        <w:rPr>
          <w:rFonts w:ascii="Times New Roman" w:hAnsi="Times New Roman"/>
          <w:sz w:val="24"/>
        </w:rPr>
        <w:tab/>
      </w:r>
      <w:r w:rsidRPr="005F764F">
        <w:rPr>
          <w:rFonts w:ascii="Times New Roman" w:hAnsi="Times New Roman"/>
          <w:sz w:val="24"/>
        </w:rPr>
        <w:tab/>
        <w:t>6</w:t>
      </w:r>
      <w:r w:rsidRPr="005F764F">
        <w:rPr>
          <w:rFonts w:ascii="Times New Roman" w:hAnsi="Times New Roman"/>
          <w:sz w:val="24"/>
        </w:rPr>
        <w:tab/>
        <w:t>10</w:t>
      </w:r>
      <w:r w:rsidRPr="005F764F">
        <w:rPr>
          <w:rFonts w:ascii="Times New Roman" w:hAnsi="Times New Roman"/>
          <w:sz w:val="24"/>
        </w:rPr>
        <w:tab/>
      </w:r>
      <w:r w:rsidR="00F06B5B" w:rsidRPr="005F764F">
        <w:rPr>
          <w:rFonts w:ascii="Times New Roman" w:hAnsi="Times New Roman"/>
          <w:sz w:val="24"/>
        </w:rPr>
        <w:tab/>
      </w:r>
      <w:r w:rsidRPr="005F764F">
        <w:rPr>
          <w:rFonts w:ascii="Times New Roman" w:hAnsi="Times New Roman"/>
          <w:sz w:val="24"/>
        </w:rPr>
        <w:t>16</w:t>
      </w:r>
      <w:r w:rsidRPr="005F764F">
        <w:rPr>
          <w:rFonts w:ascii="Times New Roman" w:hAnsi="Times New Roman"/>
          <w:sz w:val="24"/>
        </w:rPr>
        <w:tab/>
      </w:r>
    </w:p>
    <w:p w:rsidR="0097697F" w:rsidRPr="005F764F" w:rsidRDefault="00F06B5B" w:rsidP="00F06B5B">
      <w:pPr>
        <w:spacing w:line="240" w:lineRule="auto"/>
        <w:contextualSpacing/>
        <w:rPr>
          <w:rFonts w:ascii="Times New Roman" w:hAnsi="Times New Roman"/>
          <w:sz w:val="24"/>
        </w:rPr>
      </w:pPr>
      <w:r w:rsidRPr="005F764F">
        <w:rPr>
          <w:rFonts w:ascii="Times New Roman" w:hAnsi="Times New Roman"/>
          <w:sz w:val="24"/>
        </w:rPr>
        <w:t>Equipment, Business</w:t>
      </w:r>
      <w:r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6</w:t>
      </w:r>
      <w:r w:rsidR="0097697F" w:rsidRPr="005F764F">
        <w:rPr>
          <w:rFonts w:ascii="Times New Roman" w:hAnsi="Times New Roman"/>
          <w:sz w:val="24"/>
        </w:rPr>
        <w:tab/>
        <w:t>10</w:t>
      </w:r>
      <w:r w:rsidR="0097697F" w:rsidRPr="005F764F">
        <w:rPr>
          <w:rFonts w:ascii="Times New Roman" w:hAnsi="Times New Roman"/>
          <w:sz w:val="24"/>
        </w:rPr>
        <w:tab/>
      </w:r>
      <w:r w:rsidRPr="005F764F">
        <w:rPr>
          <w:rFonts w:ascii="Times New Roman" w:hAnsi="Times New Roman"/>
          <w:sz w:val="24"/>
        </w:rPr>
        <w:tab/>
      </w:r>
      <w:r w:rsidR="0097697F" w:rsidRPr="005F764F">
        <w:rPr>
          <w:rFonts w:ascii="Times New Roman" w:hAnsi="Times New Roman"/>
          <w:sz w:val="24"/>
        </w:rPr>
        <w:t>16</w:t>
      </w:r>
      <w:r w:rsidR="0097697F" w:rsidRPr="005F764F">
        <w:rPr>
          <w:rFonts w:ascii="Times New Roman" w:hAnsi="Times New Roman"/>
          <w:sz w:val="24"/>
        </w:rPr>
        <w:tab/>
      </w:r>
    </w:p>
    <w:p w:rsidR="0097697F" w:rsidRPr="005F764F" w:rsidRDefault="0097697F" w:rsidP="00F06B5B">
      <w:pPr>
        <w:spacing w:line="240" w:lineRule="auto"/>
        <w:contextualSpacing/>
        <w:rPr>
          <w:rFonts w:ascii="Times New Roman" w:hAnsi="Times New Roman"/>
          <w:sz w:val="24"/>
        </w:rPr>
      </w:pPr>
      <w:r w:rsidRPr="005F764F">
        <w:rPr>
          <w:rFonts w:ascii="Times New Roman" w:hAnsi="Times New Roman"/>
          <w:sz w:val="24"/>
        </w:rPr>
        <w:t>Crops</w:t>
      </w:r>
      <w:r w:rsidRPr="005F764F">
        <w:rPr>
          <w:rFonts w:ascii="Times New Roman" w:hAnsi="Times New Roman"/>
          <w:sz w:val="24"/>
        </w:rPr>
        <w:tab/>
      </w:r>
      <w:r w:rsidRPr="005F764F">
        <w:rPr>
          <w:rFonts w:ascii="Times New Roman" w:hAnsi="Times New Roman"/>
          <w:sz w:val="24"/>
        </w:rPr>
        <w:tab/>
      </w:r>
      <w:r w:rsidRPr="005F764F">
        <w:rPr>
          <w:rFonts w:ascii="Times New Roman" w:hAnsi="Times New Roman"/>
          <w:sz w:val="24"/>
        </w:rPr>
        <w:tab/>
      </w:r>
      <w:r w:rsidR="00F06B5B" w:rsidRPr="005F764F">
        <w:rPr>
          <w:rFonts w:ascii="Times New Roman" w:hAnsi="Times New Roman"/>
          <w:sz w:val="24"/>
        </w:rPr>
        <w:tab/>
      </w:r>
      <w:r w:rsidRPr="005F764F">
        <w:rPr>
          <w:rFonts w:ascii="Times New Roman" w:hAnsi="Times New Roman"/>
          <w:sz w:val="24"/>
        </w:rPr>
        <w:t>6</w:t>
      </w:r>
      <w:r w:rsidRPr="005F764F">
        <w:rPr>
          <w:rFonts w:ascii="Times New Roman" w:hAnsi="Times New Roman"/>
          <w:sz w:val="24"/>
        </w:rPr>
        <w:tab/>
      </w:r>
      <w:r w:rsidR="00757AD6" w:rsidRPr="005F764F">
        <w:rPr>
          <w:rFonts w:ascii="Times New Roman" w:hAnsi="Times New Roman"/>
          <w:sz w:val="24"/>
        </w:rPr>
        <w:t>0</w:t>
      </w:r>
      <w:r w:rsidRPr="005F764F">
        <w:rPr>
          <w:rFonts w:ascii="Times New Roman" w:hAnsi="Times New Roman"/>
          <w:sz w:val="24"/>
        </w:rPr>
        <w:tab/>
      </w:r>
      <w:r w:rsidR="00F06B5B" w:rsidRPr="005F764F">
        <w:rPr>
          <w:rFonts w:ascii="Times New Roman" w:hAnsi="Times New Roman"/>
          <w:sz w:val="24"/>
        </w:rPr>
        <w:tab/>
      </w:r>
      <w:r w:rsidR="00757AD6" w:rsidRPr="005F764F">
        <w:rPr>
          <w:rFonts w:ascii="Times New Roman" w:hAnsi="Times New Roman"/>
          <w:sz w:val="24"/>
        </w:rPr>
        <w:t>6</w:t>
      </w:r>
    </w:p>
    <w:p w:rsidR="007C660A" w:rsidRPr="005F764F" w:rsidRDefault="007C660A" w:rsidP="008B6477">
      <w:pPr>
        <w:rPr>
          <w:rFonts w:ascii="Times New Roman" w:hAnsi="Times New Roman"/>
          <w:sz w:val="24"/>
        </w:rPr>
      </w:pPr>
    </w:p>
    <w:p w:rsidR="007C660A" w:rsidRPr="005F764F" w:rsidRDefault="007C660A" w:rsidP="008B6477">
      <w:pPr>
        <w:rPr>
          <w:rFonts w:ascii="Times New Roman" w:hAnsi="Times New Roman" w:cs="Times New Roman"/>
          <w:color w:val="000000" w:themeColor="text1"/>
          <w:sz w:val="24"/>
        </w:rPr>
      </w:pPr>
      <w:r w:rsidRPr="005F764F">
        <w:rPr>
          <w:rFonts w:ascii="Times New Roman" w:hAnsi="Times New Roman" w:cs="Times New Roman"/>
          <w:b/>
          <w:color w:val="000000" w:themeColor="text1"/>
          <w:sz w:val="24"/>
          <w:u w:val="single"/>
        </w:rPr>
        <w:t>The 1800 property estimates</w:t>
      </w:r>
      <w:r w:rsidRPr="005F764F">
        <w:rPr>
          <w:rFonts w:ascii="Times New Roman" w:hAnsi="Times New Roman" w:cs="Times New Roman"/>
          <w:color w:val="000000" w:themeColor="text1"/>
          <w:sz w:val="24"/>
        </w:rPr>
        <w:t>:</w:t>
      </w:r>
    </w:p>
    <w:p w:rsidR="0075071F" w:rsidRPr="005F764F" w:rsidRDefault="00F61236" w:rsidP="008B6477">
      <w:pPr>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Some</w:t>
      </w:r>
      <w:r w:rsidR="007C660A" w:rsidRPr="005F764F">
        <w:rPr>
          <w:rFonts w:ascii="Times New Roman" w:hAnsi="Times New Roman" w:cs="Times New Roman"/>
          <w:color w:val="000000" w:themeColor="text1"/>
          <w:sz w:val="24"/>
        </w:rPr>
        <w:t xml:space="preserve"> features of the 1800 estimation process correspond</w:t>
      </w:r>
      <w:r w:rsidRPr="005F764F">
        <w:rPr>
          <w:rFonts w:ascii="Times New Roman" w:hAnsi="Times New Roman" w:cs="Times New Roman"/>
          <w:color w:val="000000" w:themeColor="text1"/>
          <w:sz w:val="24"/>
        </w:rPr>
        <w:t xml:space="preserve"> to</w:t>
      </w:r>
      <w:r w:rsidR="00711773" w:rsidRPr="005F764F">
        <w:rPr>
          <w:rFonts w:ascii="Times New Roman" w:hAnsi="Times New Roman" w:cs="Times New Roman"/>
          <w:color w:val="000000" w:themeColor="text1"/>
          <w:sz w:val="24"/>
        </w:rPr>
        <w:t xml:space="preserve"> the 1774 procedures.  The net rate</w:t>
      </w:r>
      <w:r w:rsidRPr="005F764F">
        <w:rPr>
          <w:rFonts w:ascii="Times New Roman" w:hAnsi="Times New Roman" w:cs="Times New Roman"/>
          <w:color w:val="000000" w:themeColor="text1"/>
          <w:sz w:val="24"/>
        </w:rPr>
        <w:t xml:space="preserve"> of return </w:t>
      </w:r>
      <w:r w:rsidR="00711773" w:rsidRPr="005F764F">
        <w:rPr>
          <w:rFonts w:ascii="Times New Roman" w:hAnsi="Times New Roman" w:cs="Times New Roman"/>
          <w:color w:val="000000" w:themeColor="text1"/>
          <w:sz w:val="24"/>
        </w:rPr>
        <w:t>is</w:t>
      </w:r>
      <w:r w:rsidRPr="005F764F">
        <w:rPr>
          <w:rFonts w:ascii="Times New Roman" w:hAnsi="Times New Roman" w:cs="Times New Roman"/>
          <w:color w:val="000000" w:themeColor="text1"/>
          <w:sz w:val="24"/>
        </w:rPr>
        <w:t xml:space="preserve"> the same</w:t>
      </w:r>
      <w:r w:rsidR="00711773" w:rsidRPr="005F764F">
        <w:rPr>
          <w:rFonts w:ascii="Times New Roman" w:hAnsi="Times New Roman" w:cs="Times New Roman"/>
          <w:color w:val="000000" w:themeColor="text1"/>
          <w:sz w:val="24"/>
        </w:rPr>
        <w:t xml:space="preserve"> – a baseline 6%, with an alternative 8% rate considered in the </w:t>
      </w:r>
      <w:r w:rsidR="00D24515" w:rsidRPr="005F764F">
        <w:rPr>
          <w:rFonts w:ascii="Times New Roman" w:hAnsi="Times New Roman" w:cs="Times New Roman"/>
          <w:color w:val="000000" w:themeColor="text1"/>
          <w:sz w:val="24"/>
        </w:rPr>
        <w:t xml:space="preserve">article’s </w:t>
      </w:r>
      <w:r w:rsidR="00711773" w:rsidRPr="005F764F">
        <w:rPr>
          <w:rFonts w:ascii="Times New Roman" w:hAnsi="Times New Roman" w:cs="Times New Roman"/>
          <w:color w:val="000000" w:themeColor="text1"/>
          <w:sz w:val="24"/>
        </w:rPr>
        <w:t>text</w:t>
      </w:r>
      <w:r w:rsidRPr="005F764F">
        <w:rPr>
          <w:rFonts w:ascii="Times New Roman" w:hAnsi="Times New Roman" w:cs="Times New Roman"/>
          <w:color w:val="000000" w:themeColor="text1"/>
          <w:sz w:val="24"/>
        </w:rPr>
        <w:t xml:space="preserve">.  The procedures for estimating occupational shares remain the same, as already described in Appendix 1.  </w:t>
      </w:r>
    </w:p>
    <w:p w:rsidR="00C1030F" w:rsidRPr="005F764F" w:rsidRDefault="0075071F" w:rsidP="00515B0A">
      <w:pPr>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 xml:space="preserve">The 1800 property structure must, however, be estimated from a wholly different database.  Gone is the support of Alice Jones’s careful probate study.  In its place are aggregate figures on real estate </w:t>
      </w:r>
      <w:r w:rsidR="007B6FDB" w:rsidRPr="005F764F">
        <w:rPr>
          <w:rFonts w:ascii="Times New Roman" w:hAnsi="Times New Roman" w:cs="Times New Roman"/>
          <w:color w:val="000000" w:themeColor="text1"/>
          <w:sz w:val="24"/>
        </w:rPr>
        <w:t>and slaveholding wealth from that</w:t>
      </w:r>
      <w:r w:rsidRPr="005F764F">
        <w:rPr>
          <w:rFonts w:ascii="Times New Roman" w:hAnsi="Times New Roman" w:cs="Times New Roman"/>
          <w:color w:val="000000" w:themeColor="text1"/>
          <w:sz w:val="24"/>
        </w:rPr>
        <w:t xml:space="preserve"> unique Direct Tax of 1798</w:t>
      </w:r>
      <w:r w:rsidR="00515B0A" w:rsidRPr="005F764F">
        <w:rPr>
          <w:rFonts w:ascii="Times New Roman" w:hAnsi="Times New Roman" w:cs="Times New Roman"/>
          <w:color w:val="000000" w:themeColor="text1"/>
          <w:sz w:val="24"/>
        </w:rPr>
        <w:t>. The main archival source is a microfilm of "Statements of the 1st Direct Tax of the United States from Valuations by the Commissions of States (1798) prepared by Daniel Sheldon, Esq. for Oliver Wolcott,"</w:t>
      </w:r>
      <w:r w:rsidR="00515B0A" w:rsidRPr="005F764F">
        <w:rPr>
          <w:rStyle w:val="FootnoteReference"/>
          <w:rFonts w:ascii="Times New Roman" w:hAnsi="Times New Roman" w:cs="Times New Roman"/>
          <w:color w:val="000000" w:themeColor="text1"/>
          <w:sz w:val="24"/>
        </w:rPr>
        <w:footnoteReference w:id="3"/>
      </w:r>
      <w:r w:rsidR="00515B0A" w:rsidRPr="005F764F">
        <w:rPr>
          <w:rFonts w:ascii="Times New Roman" w:hAnsi="Times New Roman" w:cs="Times New Roman"/>
          <w:color w:val="000000" w:themeColor="text1"/>
          <w:sz w:val="24"/>
        </w:rPr>
        <w:t xml:space="preserve"> supplemented by</w:t>
      </w:r>
      <w:r w:rsidR="00F11460" w:rsidRPr="005F764F">
        <w:rPr>
          <w:rFonts w:ascii="Times New Roman" w:hAnsi="Times New Roman" w:cs="Times New Roman"/>
          <w:color w:val="000000" w:themeColor="text1"/>
          <w:sz w:val="24"/>
        </w:rPr>
        <w:t xml:space="preserve"> summary returns in Pitkin (1817</w:t>
      </w:r>
      <w:r w:rsidR="00515B0A" w:rsidRPr="005F764F">
        <w:rPr>
          <w:rFonts w:ascii="Times New Roman" w:hAnsi="Times New Roman" w:cs="Times New Roman"/>
          <w:color w:val="000000" w:themeColor="text1"/>
          <w:sz w:val="24"/>
        </w:rPr>
        <w:t>) and analyzed in detail in Soltow (</w:t>
      </w:r>
      <w:r w:rsidR="009F18CA" w:rsidRPr="005F764F">
        <w:rPr>
          <w:rFonts w:ascii="Times New Roman" w:hAnsi="Times New Roman" w:cs="Times New Roman"/>
          <w:color w:val="000000" w:themeColor="text1"/>
          <w:sz w:val="24"/>
        </w:rPr>
        <w:t>1989)</w:t>
      </w:r>
      <w:r w:rsidR="008C2A2F" w:rsidRPr="005F764F">
        <w:rPr>
          <w:rFonts w:ascii="Times New Roman" w:hAnsi="Times New Roman" w:cs="Times New Roman"/>
          <w:color w:val="000000" w:themeColor="text1"/>
          <w:sz w:val="24"/>
        </w:rPr>
        <w:t xml:space="preserve"> and Einhorn (</w:t>
      </w:r>
      <w:r w:rsidR="00136E10" w:rsidRPr="005F764F">
        <w:rPr>
          <w:rFonts w:ascii="Times New Roman" w:hAnsi="Times New Roman" w:cs="Times New Roman"/>
          <w:color w:val="000000" w:themeColor="text1"/>
          <w:sz w:val="24"/>
        </w:rPr>
        <w:t>2006, pp. 189-195)</w:t>
      </w:r>
      <w:r w:rsidR="009F18CA" w:rsidRPr="005F764F">
        <w:rPr>
          <w:rFonts w:ascii="Times New Roman" w:hAnsi="Times New Roman" w:cs="Times New Roman"/>
          <w:color w:val="000000" w:themeColor="text1"/>
          <w:sz w:val="24"/>
        </w:rPr>
        <w:t xml:space="preserve">. </w:t>
      </w:r>
    </w:p>
    <w:p w:rsidR="005F764F" w:rsidRPr="007E135D" w:rsidRDefault="009B59F1" w:rsidP="008B6477">
      <w:pPr>
        <w:rPr>
          <w:rFonts w:ascii="Times New Roman" w:hAnsi="Times New Roman" w:cs="Times New Roman"/>
          <w:color w:val="000000" w:themeColor="text1"/>
          <w:sz w:val="24"/>
        </w:rPr>
      </w:pPr>
      <w:r w:rsidRPr="005F764F">
        <w:rPr>
          <w:rFonts w:ascii="Times New Roman" w:hAnsi="Times New Roman" w:cs="Times New Roman"/>
          <w:color w:val="000000" w:themeColor="text1"/>
          <w:sz w:val="24"/>
        </w:rPr>
        <w:t>We</w:t>
      </w:r>
      <w:r w:rsidR="00C1030F" w:rsidRPr="005F764F">
        <w:rPr>
          <w:rFonts w:ascii="Times New Roman" w:hAnsi="Times New Roman" w:cs="Times New Roman"/>
          <w:color w:val="000000" w:themeColor="text1"/>
          <w:sz w:val="24"/>
        </w:rPr>
        <w:t xml:space="preserve"> have </w:t>
      </w:r>
      <w:r w:rsidRPr="005F764F">
        <w:rPr>
          <w:rFonts w:ascii="Times New Roman" w:hAnsi="Times New Roman" w:cs="Times New Roman"/>
          <w:color w:val="000000" w:themeColor="text1"/>
          <w:sz w:val="24"/>
        </w:rPr>
        <w:t>re-</w:t>
      </w:r>
      <w:r w:rsidR="00C1030F" w:rsidRPr="005F764F">
        <w:rPr>
          <w:rFonts w:ascii="Times New Roman" w:hAnsi="Times New Roman" w:cs="Times New Roman"/>
          <w:color w:val="000000" w:themeColor="text1"/>
          <w:sz w:val="24"/>
        </w:rPr>
        <w:t xml:space="preserve">scaled the 1798 assessments in </w:t>
      </w:r>
      <w:r w:rsidRPr="005F764F">
        <w:rPr>
          <w:rFonts w:ascii="Times New Roman" w:hAnsi="Times New Roman" w:cs="Times New Roman"/>
          <w:color w:val="000000" w:themeColor="text1"/>
          <w:sz w:val="24"/>
        </w:rPr>
        <w:t>several</w:t>
      </w:r>
      <w:r w:rsidR="00C1030F" w:rsidRPr="005F764F">
        <w:rPr>
          <w:rFonts w:ascii="Times New Roman" w:hAnsi="Times New Roman" w:cs="Times New Roman"/>
          <w:color w:val="000000" w:themeColor="text1"/>
          <w:sz w:val="24"/>
        </w:rPr>
        <w:t xml:space="preserve"> ways</w:t>
      </w:r>
      <w:r w:rsidRPr="005F764F">
        <w:rPr>
          <w:rFonts w:ascii="Times New Roman" w:hAnsi="Times New Roman" w:cs="Times New Roman"/>
          <w:color w:val="000000" w:themeColor="text1"/>
          <w:sz w:val="24"/>
        </w:rPr>
        <w:t xml:space="preserve"> (as shown in Excel file “Property totals 1798-</w:t>
      </w:r>
      <w:r w:rsidRPr="007E135D">
        <w:rPr>
          <w:rFonts w:ascii="Times New Roman" w:hAnsi="Times New Roman" w:cs="Times New Roman"/>
          <w:color w:val="000000" w:themeColor="text1"/>
          <w:sz w:val="24"/>
        </w:rPr>
        <w:t>1800”, worksheets (3) – (5))</w:t>
      </w:r>
      <w:r w:rsidR="005F764F" w:rsidRPr="007E135D">
        <w:rPr>
          <w:rFonts w:ascii="Times New Roman" w:hAnsi="Times New Roman" w:cs="Times New Roman"/>
          <w:color w:val="000000" w:themeColor="text1"/>
          <w:sz w:val="24"/>
        </w:rPr>
        <w:t>.  W</w:t>
      </w:r>
      <w:r w:rsidR="00C1030F" w:rsidRPr="007E135D">
        <w:rPr>
          <w:rFonts w:ascii="Times New Roman" w:hAnsi="Times New Roman" w:cs="Times New Roman"/>
          <w:color w:val="000000" w:themeColor="text1"/>
          <w:sz w:val="24"/>
        </w:rPr>
        <w:t xml:space="preserve">e converted to 1800 values of real estate by using Blodgett’s seven-percent realty markup between those dates.  </w:t>
      </w:r>
      <w:r w:rsidR="005F764F" w:rsidRPr="007E135D">
        <w:rPr>
          <w:rFonts w:ascii="Times New Roman" w:hAnsi="Times New Roman" w:cs="Times New Roman"/>
          <w:color w:val="000000" w:themeColor="text1"/>
          <w:sz w:val="24"/>
        </w:rPr>
        <w:t>Then</w:t>
      </w:r>
      <w:r w:rsidR="00C1030F" w:rsidRPr="007E135D">
        <w:rPr>
          <w:rFonts w:ascii="Times New Roman" w:hAnsi="Times New Roman" w:cs="Times New Roman"/>
          <w:color w:val="000000" w:themeColor="text1"/>
          <w:sz w:val="24"/>
        </w:rPr>
        <w:t xml:space="preserve"> </w:t>
      </w:r>
      <w:r w:rsidRPr="007E135D">
        <w:rPr>
          <w:rFonts w:ascii="Times New Roman" w:hAnsi="Times New Roman" w:cs="Times New Roman"/>
          <w:color w:val="000000" w:themeColor="text1"/>
          <w:sz w:val="24"/>
        </w:rPr>
        <w:t xml:space="preserve">we adjusted for the 8.45% underassessment of realty revealed by a 1799 study. </w:t>
      </w:r>
    </w:p>
    <w:p w:rsidR="005F764F" w:rsidRPr="007E135D" w:rsidRDefault="005F764F" w:rsidP="005F764F">
      <w:pPr>
        <w:spacing w:line="240" w:lineRule="auto"/>
        <w:rPr>
          <w:rFonts w:ascii="Times New Roman" w:hAnsi="Times New Roman" w:cs="Times New Roman"/>
          <w:color w:val="000000" w:themeColor="text1"/>
          <w:sz w:val="24"/>
        </w:rPr>
      </w:pPr>
      <w:r w:rsidRPr="007E135D">
        <w:rPr>
          <w:rFonts w:ascii="Times New Roman" w:hAnsi="Times New Roman" w:cs="Times New Roman"/>
          <w:color w:val="000000" w:themeColor="text1"/>
          <w:sz w:val="24"/>
        </w:rPr>
        <w:t xml:space="preserve">The most important adjustment in the 1798-1800 property estimates is one for dealing with </w:t>
      </w:r>
      <w:r w:rsidR="009B59F1" w:rsidRPr="007E135D">
        <w:rPr>
          <w:rFonts w:ascii="Times New Roman" w:hAnsi="Times New Roman" w:cs="Times New Roman"/>
          <w:color w:val="000000" w:themeColor="text1"/>
          <w:sz w:val="24"/>
        </w:rPr>
        <w:t xml:space="preserve">the extent to which Southern slaveholders and owners of highly valuable real estate were able to understate their wealth, </w:t>
      </w:r>
      <w:r w:rsidR="00D24515" w:rsidRPr="007E135D">
        <w:rPr>
          <w:rFonts w:ascii="Times New Roman" w:hAnsi="Times New Roman" w:cs="Times New Roman"/>
          <w:color w:val="000000" w:themeColor="text1"/>
          <w:sz w:val="24"/>
        </w:rPr>
        <w:t>evad</w:t>
      </w:r>
      <w:r w:rsidR="009B59F1" w:rsidRPr="007E135D">
        <w:rPr>
          <w:rFonts w:ascii="Times New Roman" w:hAnsi="Times New Roman" w:cs="Times New Roman"/>
          <w:color w:val="000000" w:themeColor="text1"/>
          <w:sz w:val="24"/>
        </w:rPr>
        <w:t>ing a higher rate of taxation</w:t>
      </w:r>
      <w:bookmarkStart w:id="0" w:name="_GoBack"/>
      <w:bookmarkEnd w:id="0"/>
      <w:r w:rsidR="009B59F1" w:rsidRPr="007E135D">
        <w:rPr>
          <w:rFonts w:ascii="Times New Roman" w:hAnsi="Times New Roman" w:cs="Times New Roman"/>
          <w:color w:val="000000" w:themeColor="text1"/>
          <w:sz w:val="24"/>
        </w:rPr>
        <w:t xml:space="preserve">.  </w:t>
      </w:r>
    </w:p>
    <w:p w:rsidR="005F764F" w:rsidRPr="007E135D" w:rsidRDefault="005F764F" w:rsidP="005F764F">
      <w:pPr>
        <w:spacing w:line="240" w:lineRule="auto"/>
        <w:ind w:right="-634"/>
        <w:rPr>
          <w:rFonts w:ascii="Times New Roman" w:hAnsi="Times New Roman"/>
          <w:color w:val="000000" w:themeColor="text1"/>
          <w:sz w:val="24"/>
        </w:rPr>
      </w:pPr>
      <w:r w:rsidRPr="007E135D">
        <w:rPr>
          <w:rFonts w:ascii="Times New Roman" w:hAnsi="Times New Roman"/>
          <w:color w:val="000000" w:themeColor="text1"/>
          <w:sz w:val="24"/>
        </w:rPr>
        <w:t xml:space="preserve">We have three clues about the degree of Southern underassessment.  Two of these relate to slaves and do not affect our income estimates.  The third relates to real estate, and it does affect our income estimates.  </w:t>
      </w:r>
    </w:p>
    <w:p w:rsidR="005F764F" w:rsidRPr="007E135D" w:rsidRDefault="005F764F" w:rsidP="005F764F">
      <w:pPr>
        <w:spacing w:line="240" w:lineRule="auto"/>
        <w:ind w:right="-634"/>
        <w:rPr>
          <w:rFonts w:ascii="Times New Roman" w:hAnsi="Times New Roman"/>
          <w:color w:val="000000" w:themeColor="text1"/>
          <w:sz w:val="24"/>
        </w:rPr>
      </w:pPr>
      <w:r w:rsidRPr="007E135D">
        <w:rPr>
          <w:rFonts w:ascii="Times New Roman" w:hAnsi="Times New Roman"/>
          <w:color w:val="000000" w:themeColor="text1"/>
          <w:sz w:val="24"/>
        </w:rPr>
        <w:t>The first clue arises from slave counts. The tax return of 1798 reported only 86,840 slaves of taxable age 12-50 and 323,905 slaves overall.  These numbers are much too low and also imply an implausibly low working-age share for the slave population (0.268). Indeed, only two years later the 1800 census reported 513,905 slaves aged 10-up and 835,490 slaves overall.  Even the 1790 census reported far more slaves than were revealed in the 1798 tax returns.  Fortunately, we were able to reject the 1798 tax-return slave counts in favor of the 1800 census, combined with the Fogel-Engerman (1976, updated 2006) sample values for the rental incomes derived by slaveholders.</w:t>
      </w:r>
      <w:r w:rsidRPr="007E135D">
        <w:rPr>
          <w:rStyle w:val="FootnoteReference"/>
          <w:rFonts w:ascii="Times New Roman" w:hAnsi="Times New Roman"/>
          <w:color w:val="000000" w:themeColor="text1"/>
          <w:sz w:val="24"/>
        </w:rPr>
        <w:footnoteReference w:id="4"/>
      </w:r>
    </w:p>
    <w:p w:rsidR="005F764F" w:rsidRPr="007E135D" w:rsidRDefault="005F764F" w:rsidP="005F764F">
      <w:pPr>
        <w:spacing w:line="240" w:lineRule="auto"/>
        <w:ind w:right="-634"/>
        <w:rPr>
          <w:rFonts w:ascii="Times New Roman" w:hAnsi="Times New Roman"/>
          <w:color w:val="000000" w:themeColor="text1"/>
          <w:sz w:val="24"/>
        </w:rPr>
      </w:pPr>
      <w:r w:rsidRPr="007E135D">
        <w:rPr>
          <w:rFonts w:ascii="Times New Roman" w:hAnsi="Times New Roman"/>
          <w:color w:val="000000" w:themeColor="text1"/>
          <w:sz w:val="24"/>
        </w:rPr>
        <w:t>A second clue supporting underassessment in the South lies with the overall tax valuation of slaves, rather than just their numbers.  According to Timothy Pitkin’s (1817) summary of the 1798 returns, slave taxes were only 21 percent of all reported realty plus slave taxes in the South Atlantic, while in 1774 slave values were 58.1 percent of all slave plus realty value in that region.  Either the market value of slaves relative to the value of real estate dropped spectacularly, or slaveholders gained a considerable tax break relative to other owners of real estate. It seems clear to us that the fifty-cent tax per slave reported to be 12-50 years old was based on an undercount of those slaves.</w:t>
      </w:r>
      <w:r w:rsidRPr="007E135D">
        <w:rPr>
          <w:rStyle w:val="FootnoteReference"/>
          <w:rFonts w:ascii="Times New Roman" w:hAnsi="Times New Roman"/>
          <w:color w:val="000000" w:themeColor="text1"/>
          <w:sz w:val="24"/>
        </w:rPr>
        <w:footnoteReference w:id="5"/>
      </w:r>
      <w:r w:rsidRPr="007E135D">
        <w:rPr>
          <w:rFonts w:ascii="Times New Roman" w:hAnsi="Times New Roman"/>
          <w:color w:val="000000" w:themeColor="text1"/>
          <w:sz w:val="24"/>
        </w:rPr>
        <w:t xml:space="preserve"> To repeat, our estimates of slaveholder incomes are not influenced by the undercount since ours are based on the market value of slaves rather than on the tax assessor’s value for slaves. We have raised the slave undercount issue only to add credibility to the wealth adjustment discussed next.</w:t>
      </w:r>
    </w:p>
    <w:p w:rsidR="005F764F" w:rsidRPr="007E135D" w:rsidRDefault="005F764F" w:rsidP="005F764F">
      <w:pPr>
        <w:spacing w:line="240" w:lineRule="auto"/>
        <w:ind w:right="-634"/>
        <w:rPr>
          <w:rFonts w:ascii="Times New Roman" w:hAnsi="Times New Roman"/>
          <w:color w:val="000000" w:themeColor="text1"/>
          <w:sz w:val="24"/>
        </w:rPr>
      </w:pPr>
      <w:r w:rsidRPr="007E135D">
        <w:rPr>
          <w:rFonts w:ascii="Times New Roman" w:hAnsi="Times New Roman"/>
          <w:color w:val="000000" w:themeColor="text1"/>
          <w:sz w:val="24"/>
        </w:rPr>
        <w:t xml:space="preserve">In contrast with the first two clues, the third underassessment clue does have implications for our southern property income estimates.  The South Atlantic (here excluding Delaware) paid 38.1 percent of the eastern US realty tax in 1798.  This share was tied by law to the South Atlantic share of the free population of the eastern states in 1800 (35 percent). But note the comparison of this 38.1 percent with the region’s 57.7 percent share of the thirteen colonies’ real estate wealth in the probate valuations for 1774.  </w:t>
      </w:r>
    </w:p>
    <w:p w:rsidR="005F764F" w:rsidRPr="007E135D" w:rsidRDefault="005F764F" w:rsidP="005F764F">
      <w:pPr>
        <w:spacing w:line="240" w:lineRule="auto"/>
        <w:ind w:right="-634"/>
        <w:rPr>
          <w:rFonts w:ascii="Times New Roman" w:hAnsi="Times New Roman"/>
          <w:color w:val="000000" w:themeColor="text1"/>
          <w:sz w:val="24"/>
        </w:rPr>
      </w:pPr>
      <w:r w:rsidRPr="007E135D">
        <w:rPr>
          <w:rFonts w:ascii="Times New Roman" w:hAnsi="Times New Roman"/>
          <w:color w:val="000000" w:themeColor="text1"/>
          <w:sz w:val="24"/>
        </w:rPr>
        <w:t>There are two possible explanations for the discrepancy. The first possibility is that the South could have under-assessed its 57.7 percent share of the market-based value of all realty in the 13 colonies, reporting only 38.1 percent.  This heavy-evasion assumption would imply that we should mark up greatly South Atlantic real estate values in 1798-1800, from a South/North assessment ratio of 38.1/61.9 = 0.62 to a market ratio of 57.7/42.3 = 1.36.</w:t>
      </w:r>
      <w:r w:rsidRPr="007E135D">
        <w:rPr>
          <w:rStyle w:val="FootnoteReference"/>
          <w:rFonts w:ascii="Times New Roman" w:hAnsi="Times New Roman"/>
          <w:color w:val="000000" w:themeColor="text1"/>
          <w:sz w:val="24"/>
        </w:rPr>
        <w:footnoteReference w:id="6"/>
      </w:r>
      <w:r w:rsidRPr="007E135D">
        <w:rPr>
          <w:rFonts w:ascii="Times New Roman" w:hAnsi="Times New Roman"/>
          <w:color w:val="000000" w:themeColor="text1"/>
          <w:sz w:val="24"/>
        </w:rPr>
        <w:t xml:space="preserve"> The opposite possibility is that Southern realty was truly worth only 38.1 percent of total market value, implying that its relative real estate values must have crashed in the Revolutionary war and postwar years. </w:t>
      </w:r>
    </w:p>
    <w:p w:rsidR="005F764F" w:rsidRPr="007E135D" w:rsidRDefault="005F764F" w:rsidP="005F764F">
      <w:pPr>
        <w:spacing w:line="240" w:lineRule="auto"/>
        <w:rPr>
          <w:rFonts w:ascii="Times New Roman" w:hAnsi="Times New Roman" w:cs="Times New Roman"/>
          <w:color w:val="000000" w:themeColor="text1"/>
          <w:sz w:val="24"/>
        </w:rPr>
      </w:pPr>
      <w:r w:rsidRPr="007E135D">
        <w:rPr>
          <w:rFonts w:ascii="Times New Roman" w:hAnsi="Times New Roman"/>
          <w:color w:val="000000" w:themeColor="text1"/>
          <w:sz w:val="24"/>
        </w:rPr>
        <w:t>Neither extreme seems persuasive.  The second, or no-underassessment, assumption would have to disregard the three clues implying that the South differentially under-assessed realty and slaves.  The heavy-evasion assumption strains belief by implying that the South Atlantic suffered such enormous relative war and postwar losses. The true underassessment differential probably lies between these two extremes. We therefore settle on a middle-evasion assumption.  That is, we assume that the North had the 15.5 percent underassessment of real estate demonstrated in the 1799 Connecticut market study, and that the South had the same 15.5 percent underassessment plus half of the possible extra underassessment.</w:t>
      </w:r>
    </w:p>
    <w:p w:rsidR="00AB57C1" w:rsidRDefault="009B59F1" w:rsidP="008B6477">
      <w:pPr>
        <w:rPr>
          <w:rFonts w:ascii="Times New Roman" w:hAnsi="Times New Roman" w:cs="Times New Roman"/>
          <w:color w:val="000000" w:themeColor="text1"/>
          <w:sz w:val="24"/>
        </w:rPr>
      </w:pPr>
      <w:r w:rsidRPr="007E135D">
        <w:rPr>
          <w:rFonts w:ascii="Times New Roman" w:hAnsi="Times New Roman" w:cs="Times New Roman"/>
          <w:color w:val="000000" w:themeColor="text1"/>
          <w:sz w:val="24"/>
        </w:rPr>
        <w:t xml:space="preserve">Finally, </w:t>
      </w:r>
      <w:r w:rsidR="005F764F" w:rsidRPr="007E135D">
        <w:rPr>
          <w:rFonts w:ascii="Times New Roman" w:hAnsi="Times New Roman" w:cs="Times New Roman"/>
          <w:color w:val="000000" w:themeColor="text1"/>
          <w:sz w:val="24"/>
        </w:rPr>
        <w:t xml:space="preserve">as noted in the main text, </w:t>
      </w:r>
      <w:r w:rsidRPr="007E135D">
        <w:rPr>
          <w:rFonts w:ascii="Times New Roman" w:hAnsi="Times New Roman" w:cs="Times New Roman"/>
          <w:color w:val="000000" w:themeColor="text1"/>
          <w:sz w:val="24"/>
        </w:rPr>
        <w:t xml:space="preserve">the absence of data on property other than real estate and slaves forced us to use the same ratios of total property/(realty plus slave values) obtained from the 1774 evidence to inflate them to total property.  We </w:t>
      </w:r>
      <w:r w:rsidR="005F764F" w:rsidRPr="007E135D">
        <w:rPr>
          <w:rFonts w:ascii="Times New Roman" w:hAnsi="Times New Roman" w:cs="Times New Roman"/>
          <w:color w:val="000000" w:themeColor="text1"/>
          <w:sz w:val="24"/>
        </w:rPr>
        <w:t>have applied</w:t>
      </w:r>
      <w:r w:rsidRPr="007E135D">
        <w:rPr>
          <w:rFonts w:ascii="Times New Roman" w:hAnsi="Times New Roman" w:cs="Times New Roman"/>
          <w:color w:val="000000" w:themeColor="text1"/>
          <w:sz w:val="24"/>
        </w:rPr>
        <w:t xml:space="preserve"> region-specific ratios to eac</w:t>
      </w:r>
      <w:r w:rsidR="00C20EE8" w:rsidRPr="007E135D">
        <w:rPr>
          <w:rFonts w:ascii="Times New Roman" w:hAnsi="Times New Roman" w:cs="Times New Roman"/>
          <w:color w:val="000000" w:themeColor="text1"/>
          <w:sz w:val="24"/>
        </w:rPr>
        <w:t>h of the three colonial regions (Property totals 1798-1800”, worksheet (5)).</w:t>
      </w:r>
    </w:p>
    <w:p w:rsidR="00AB57C1" w:rsidRDefault="00AB57C1" w:rsidP="008B6477">
      <w:pPr>
        <w:rPr>
          <w:rFonts w:ascii="Times New Roman" w:hAnsi="Times New Roman" w:cs="Times New Roman"/>
          <w:color w:val="000000" w:themeColor="text1"/>
          <w:sz w:val="24"/>
        </w:rPr>
      </w:pPr>
    </w:p>
    <w:p w:rsidR="00AB57C1" w:rsidRPr="005F764F" w:rsidRDefault="00AB57C1" w:rsidP="00AB57C1">
      <w:pPr>
        <w:spacing w:after="0"/>
        <w:rPr>
          <w:rFonts w:ascii="Times New Roman" w:hAnsi="Times New Roman" w:cs="Times New Roman"/>
          <w:color w:val="000000" w:themeColor="text1"/>
          <w:sz w:val="24"/>
        </w:rPr>
      </w:pPr>
      <w:r w:rsidRPr="005F764F">
        <w:rPr>
          <w:rFonts w:ascii="Times New Roman" w:hAnsi="Times New Roman" w:cs="Times New Roman"/>
          <w:b/>
          <w:color w:val="000000" w:themeColor="text1"/>
          <w:sz w:val="24"/>
          <w:u w:val="single"/>
        </w:rPr>
        <w:t xml:space="preserve">The 1774 </w:t>
      </w:r>
      <w:r>
        <w:rPr>
          <w:rFonts w:ascii="Times New Roman" w:hAnsi="Times New Roman" w:cs="Times New Roman"/>
          <w:b/>
          <w:color w:val="000000" w:themeColor="text1"/>
          <w:sz w:val="24"/>
          <w:u w:val="single"/>
        </w:rPr>
        <w:t>total-income</w:t>
      </w:r>
      <w:r w:rsidRPr="005F764F">
        <w:rPr>
          <w:rFonts w:ascii="Times New Roman" w:hAnsi="Times New Roman" w:cs="Times New Roman"/>
          <w:b/>
          <w:color w:val="000000" w:themeColor="text1"/>
          <w:sz w:val="24"/>
          <w:u w:val="single"/>
        </w:rPr>
        <w:t xml:space="preserve"> estimates</w:t>
      </w:r>
      <w:r>
        <w:rPr>
          <w:rFonts w:ascii="Times New Roman" w:hAnsi="Times New Roman" w:cs="Times New Roman"/>
          <w:b/>
          <w:color w:val="000000" w:themeColor="text1"/>
          <w:sz w:val="24"/>
          <w:u w:val="single"/>
        </w:rPr>
        <w:t>, and the summary social table</w:t>
      </w:r>
    </w:p>
    <w:p w:rsidR="00AB57C1" w:rsidRDefault="00AB57C1" w:rsidP="008B6477">
      <w:pPr>
        <w:rPr>
          <w:rFonts w:ascii="Times New Roman" w:hAnsi="Times New Roman" w:cs="Times New Roman"/>
          <w:color w:val="000000" w:themeColor="text1"/>
          <w:sz w:val="24"/>
        </w:rPr>
      </w:pPr>
    </w:p>
    <w:p w:rsidR="00AB57C1" w:rsidRDefault="00AB57C1" w:rsidP="008B6477">
      <w:pPr>
        <w:rPr>
          <w:rFonts w:ascii="Times New Roman" w:hAnsi="Times New Roman" w:cs="Times New Roman"/>
          <w:color w:val="000000" w:themeColor="text1"/>
          <w:sz w:val="24"/>
        </w:rPr>
      </w:pPr>
      <w:r>
        <w:rPr>
          <w:rFonts w:ascii="Times New Roman" w:hAnsi="Times New Roman" w:cs="Times New Roman"/>
          <w:color w:val="000000" w:themeColor="text1"/>
          <w:sz w:val="24"/>
        </w:rPr>
        <w:tab/>
        <w:t>The property incomes for 1774 were then merged with the own-labor incomes, both those of the free and the retained incomes of slaves. The greatest single complication in this income-merging process was the assignment of the labor income of free non-household heads to the households headed by other persons, as explained in the text and in Appendices 1 and 2.  For the details of the final merger, see the file “American incomes detail 1774” in the supplementary materials.  Its results are condensed and summarized in the file “American social table 1774”.</w:t>
      </w:r>
    </w:p>
    <w:p w:rsidR="00743308" w:rsidRPr="007E135D" w:rsidRDefault="00AB57C1" w:rsidP="008B6477">
      <w:pPr>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Again, the same merging </w:t>
      </w:r>
      <w:r w:rsidR="006E0C5F">
        <w:rPr>
          <w:rFonts w:ascii="Times New Roman" w:hAnsi="Times New Roman" w:cs="Times New Roman"/>
          <w:color w:val="000000" w:themeColor="text1"/>
          <w:sz w:val="24"/>
        </w:rPr>
        <w:t xml:space="preserve">of labor and property incomes </w:t>
      </w:r>
      <w:r>
        <w:rPr>
          <w:rFonts w:ascii="Times New Roman" w:hAnsi="Times New Roman" w:cs="Times New Roman"/>
          <w:color w:val="000000" w:themeColor="text1"/>
          <w:sz w:val="24"/>
        </w:rPr>
        <w:t>could not be done for 1798-1800, since the 1798 property returns did not offer any breakdown by occupational classes.</w:t>
      </w:r>
    </w:p>
    <w:sectPr w:rsidR="00743308" w:rsidRPr="007E135D" w:rsidSect="00743308">
      <w:footerReference w:type="even" r:id="rId6"/>
      <w:footerReference w:type="default" r:id="rId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77D2" w:rsidRDefault="005B77D2">
      <w:pPr>
        <w:spacing w:after="0" w:line="240" w:lineRule="auto"/>
      </w:pPr>
      <w:r>
        <w:separator/>
      </w:r>
    </w:p>
  </w:endnote>
  <w:endnote w:type="continuationSeparator" w:id="1">
    <w:p w:rsidR="005B77D2" w:rsidRDefault="005B7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030F" w:rsidRDefault="00DE24E0" w:rsidP="003253F0">
    <w:pPr>
      <w:pStyle w:val="Footer"/>
      <w:framePr w:wrap="around" w:vAnchor="text" w:hAnchor="margin" w:xAlign="right" w:y="1"/>
      <w:rPr>
        <w:rStyle w:val="PageNumber"/>
      </w:rPr>
    </w:pPr>
    <w:r>
      <w:rPr>
        <w:rStyle w:val="PageNumber"/>
      </w:rPr>
      <w:fldChar w:fldCharType="begin"/>
    </w:r>
    <w:r w:rsidR="00C1030F">
      <w:rPr>
        <w:rStyle w:val="PageNumber"/>
      </w:rPr>
      <w:instrText xml:space="preserve">PAGE  </w:instrText>
    </w:r>
    <w:r>
      <w:rPr>
        <w:rStyle w:val="PageNumber"/>
      </w:rPr>
      <w:fldChar w:fldCharType="end"/>
    </w:r>
  </w:p>
  <w:p w:rsidR="00C1030F" w:rsidRDefault="00C1030F" w:rsidP="003253F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030F" w:rsidRDefault="00DE24E0" w:rsidP="003253F0">
    <w:pPr>
      <w:pStyle w:val="Footer"/>
      <w:framePr w:wrap="around" w:vAnchor="text" w:hAnchor="margin" w:xAlign="right" w:y="1"/>
      <w:rPr>
        <w:rStyle w:val="PageNumber"/>
      </w:rPr>
    </w:pPr>
    <w:r>
      <w:rPr>
        <w:rStyle w:val="PageNumber"/>
      </w:rPr>
      <w:fldChar w:fldCharType="begin"/>
    </w:r>
    <w:r w:rsidR="00C1030F">
      <w:rPr>
        <w:rStyle w:val="PageNumber"/>
      </w:rPr>
      <w:instrText xml:space="preserve">PAGE  </w:instrText>
    </w:r>
    <w:r>
      <w:rPr>
        <w:rStyle w:val="PageNumber"/>
      </w:rPr>
      <w:fldChar w:fldCharType="separate"/>
    </w:r>
    <w:r w:rsidR="002B57EE">
      <w:rPr>
        <w:rStyle w:val="PageNumber"/>
        <w:noProof/>
      </w:rPr>
      <w:t>1</w:t>
    </w:r>
    <w:r>
      <w:rPr>
        <w:rStyle w:val="PageNumber"/>
      </w:rPr>
      <w:fldChar w:fldCharType="end"/>
    </w:r>
  </w:p>
  <w:p w:rsidR="00C1030F" w:rsidRDefault="00C1030F" w:rsidP="003253F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77D2" w:rsidRDefault="005B77D2">
      <w:pPr>
        <w:spacing w:after="0" w:line="240" w:lineRule="auto"/>
      </w:pPr>
      <w:r>
        <w:separator/>
      </w:r>
    </w:p>
  </w:footnote>
  <w:footnote w:type="continuationSeparator" w:id="1">
    <w:p w:rsidR="005B77D2" w:rsidRDefault="005B77D2">
      <w:pPr>
        <w:spacing w:after="0" w:line="240" w:lineRule="auto"/>
      </w:pPr>
      <w:r>
        <w:continuationSeparator/>
      </w:r>
    </w:p>
  </w:footnote>
  <w:footnote w:id="2">
    <w:p w:rsidR="00C1030F" w:rsidRPr="00D24515" w:rsidRDefault="00C1030F">
      <w:pPr>
        <w:pStyle w:val="FootnoteText"/>
        <w:rPr>
          <w:rFonts w:ascii="Times New Roman" w:hAnsi="Times New Roman" w:cs="Times New Roman"/>
          <w:sz w:val="22"/>
          <w:szCs w:val="22"/>
        </w:rPr>
      </w:pPr>
      <w:r w:rsidRPr="00D24515">
        <w:rPr>
          <w:rStyle w:val="FootnoteReference"/>
          <w:rFonts w:ascii="Times New Roman" w:hAnsi="Times New Roman" w:cs="Times New Roman"/>
        </w:rPr>
        <w:footnoteRef/>
      </w:r>
      <w:r w:rsidRPr="00D24515">
        <w:rPr>
          <w:rFonts w:ascii="Times New Roman" w:hAnsi="Times New Roman" w:cs="Times New Roman"/>
        </w:rPr>
        <w:t xml:space="preserve"> </w:t>
      </w:r>
      <w:r w:rsidRPr="00F62156">
        <w:rPr>
          <w:rFonts w:ascii="Times New Roman" w:hAnsi="Times New Roman" w:cs="Times New Roman"/>
          <w:color w:val="000000" w:themeColor="text1"/>
          <w:sz w:val="22"/>
          <w:szCs w:val="22"/>
        </w:rPr>
        <w:t xml:space="preserve">The work on occupational and household mixes was </w:t>
      </w:r>
      <w:r w:rsidR="000562C5" w:rsidRPr="00F62156">
        <w:rPr>
          <w:rFonts w:ascii="Times New Roman" w:hAnsi="Times New Roman" w:cs="Times New Roman"/>
          <w:color w:val="000000" w:themeColor="text1"/>
          <w:sz w:val="22"/>
          <w:szCs w:val="22"/>
        </w:rPr>
        <w:t xml:space="preserve">developed </w:t>
      </w:r>
      <w:r w:rsidRPr="00F62156">
        <w:rPr>
          <w:rFonts w:ascii="Times New Roman" w:hAnsi="Times New Roman" w:cs="Times New Roman"/>
          <w:color w:val="000000" w:themeColor="text1"/>
          <w:sz w:val="22"/>
          <w:szCs w:val="22"/>
        </w:rPr>
        <w:t>simultaneously for the task of estimating property incomes and the task of estimating labor earnings.  Scholars particularly interested in the occupational mix should therefore study the detail in occupational mix worksheets of the three regional files on “Property 1774”, and should also consult Appendix 1.</w:t>
      </w:r>
    </w:p>
  </w:footnote>
  <w:footnote w:id="3">
    <w:p w:rsidR="00C1030F" w:rsidRPr="007E135D" w:rsidRDefault="00C1030F" w:rsidP="00515B0A">
      <w:pPr>
        <w:spacing w:line="240" w:lineRule="auto"/>
        <w:contextualSpacing/>
        <w:rPr>
          <w:rFonts w:ascii="Times New Roman" w:hAnsi="Times New Roman" w:cs="Times New Roman"/>
          <w:color w:val="000000" w:themeColor="text1"/>
        </w:rPr>
      </w:pPr>
      <w:r>
        <w:rPr>
          <w:rStyle w:val="FootnoteReference"/>
        </w:rPr>
        <w:footnoteRef/>
      </w:r>
      <w:r>
        <w:t xml:space="preserve"> We obtained our copy from </w:t>
      </w:r>
      <w:r w:rsidRPr="00515B0A">
        <w:rPr>
          <w:rFonts w:ascii="Times New Roman" w:hAnsi="Times New Roman" w:cs="Times New Roman"/>
          <w:color w:val="000000" w:themeColor="text1"/>
        </w:rPr>
        <w:t>Diana McCain of the library of the Connecticut Historical Society Museum (CHSM).</w:t>
      </w:r>
      <w:r>
        <w:rPr>
          <w:rFonts w:ascii="Times New Roman" w:hAnsi="Times New Roman" w:cs="Times New Roman"/>
          <w:color w:val="000000" w:themeColor="text1"/>
        </w:rPr>
        <w:t xml:space="preserve"> </w:t>
      </w:r>
      <w:r w:rsidRPr="00515B0A">
        <w:rPr>
          <w:rFonts w:ascii="Times New Roman" w:hAnsi="Times New Roman" w:cs="Times New Roman"/>
          <w:color w:val="000000" w:themeColor="text1"/>
        </w:rPr>
        <w:t>The original microfilm on file with the CHSM was apparently assembled by E</w:t>
      </w:r>
      <w:r w:rsidRPr="007E135D">
        <w:rPr>
          <w:rFonts w:ascii="Times New Roman" w:hAnsi="Times New Roman" w:cs="Times New Roman"/>
          <w:color w:val="000000" w:themeColor="text1"/>
        </w:rPr>
        <w:t>. James Ferguson of Queens College, Flushing, New York on October 3, 1969.</w:t>
      </w:r>
    </w:p>
    <w:p w:rsidR="00C1030F" w:rsidRPr="007E135D" w:rsidRDefault="00C1030F" w:rsidP="00515B0A">
      <w:pPr>
        <w:pStyle w:val="FootnoteText"/>
        <w:contextualSpacing/>
        <w:rPr>
          <w:color w:val="000000" w:themeColor="text1"/>
        </w:rPr>
      </w:pPr>
    </w:p>
  </w:footnote>
  <w:footnote w:id="4">
    <w:p w:rsidR="005F764F" w:rsidRPr="007E135D" w:rsidRDefault="005F764F">
      <w:pPr>
        <w:pStyle w:val="FootnoteText"/>
        <w:rPr>
          <w:color w:val="000000" w:themeColor="text1"/>
        </w:rPr>
      </w:pPr>
      <w:r w:rsidRPr="007E135D">
        <w:rPr>
          <w:rStyle w:val="FootnoteReference"/>
          <w:color w:val="000000" w:themeColor="text1"/>
        </w:rPr>
        <w:footnoteRef/>
      </w:r>
      <w:r w:rsidRPr="007E135D">
        <w:rPr>
          <w:color w:val="000000" w:themeColor="text1"/>
        </w:rPr>
        <w:t xml:space="preserve"> </w:t>
      </w:r>
      <w:r w:rsidRPr="007E135D">
        <w:rPr>
          <w:rFonts w:ascii="Times New Roman" w:hAnsi="Times New Roman"/>
          <w:color w:val="000000" w:themeColor="text1"/>
        </w:rPr>
        <w:t>See the Excel file “Property totals 1798-1800”.</w:t>
      </w:r>
    </w:p>
  </w:footnote>
  <w:footnote w:id="5">
    <w:p w:rsidR="005F764F" w:rsidRPr="007E135D" w:rsidRDefault="005F764F">
      <w:pPr>
        <w:pStyle w:val="FootnoteText"/>
        <w:rPr>
          <w:color w:val="000000" w:themeColor="text1"/>
        </w:rPr>
      </w:pPr>
      <w:r w:rsidRPr="007E135D">
        <w:rPr>
          <w:rStyle w:val="FootnoteReference"/>
          <w:color w:val="000000" w:themeColor="text1"/>
        </w:rPr>
        <w:footnoteRef/>
      </w:r>
      <w:r w:rsidRPr="007E135D">
        <w:rPr>
          <w:color w:val="000000" w:themeColor="text1"/>
        </w:rPr>
        <w:t xml:space="preserve"> </w:t>
      </w:r>
      <w:r w:rsidRPr="007E135D">
        <w:rPr>
          <w:rFonts w:ascii="Times New Roman" w:hAnsi="Times New Roman"/>
          <w:color w:val="000000" w:themeColor="text1"/>
        </w:rPr>
        <w:t xml:space="preserve">The </w:t>
      </w:r>
      <w:r w:rsidRPr="007E135D">
        <w:rPr>
          <w:rFonts w:ascii="Times New Roman" w:hAnsi="Times New Roman"/>
          <w:i/>
          <w:color w:val="000000" w:themeColor="text1"/>
        </w:rPr>
        <w:t>ad valorem</w:t>
      </w:r>
      <w:r w:rsidRPr="007E135D">
        <w:rPr>
          <w:rFonts w:ascii="Times New Roman" w:hAnsi="Times New Roman"/>
          <w:color w:val="000000" w:themeColor="text1"/>
        </w:rPr>
        <w:t xml:space="preserve"> tax rate as a share of the Fogel-Engerman slave values (1976, updated 2006) resembles the share of slaves that were reported.  This again suggests that the undercount of slaves was the main mechanism for understatement of Southern taxable wealth.  The slave undercount was common to all states in 1798, though over 60% of the 1800-census slaves were reported in Connecticut, New York, and Pennsylvania, whereas less than 40% were reported in New Jersey, Kentucky, and Tennessee.</w:t>
      </w:r>
    </w:p>
  </w:footnote>
  <w:footnote w:id="6">
    <w:p w:rsidR="005F764F" w:rsidRPr="007E135D" w:rsidRDefault="005F764F" w:rsidP="005F764F">
      <w:pPr>
        <w:pStyle w:val="EndnoteText"/>
        <w:rPr>
          <w:rFonts w:ascii="Times New Roman" w:hAnsi="Times New Roman"/>
          <w:color w:val="000000" w:themeColor="text1"/>
        </w:rPr>
      </w:pPr>
      <w:r w:rsidRPr="007E135D">
        <w:rPr>
          <w:rStyle w:val="FootnoteReference"/>
          <w:color w:val="000000" w:themeColor="text1"/>
        </w:rPr>
        <w:footnoteRef/>
      </w:r>
      <w:r w:rsidRPr="007E135D">
        <w:rPr>
          <w:color w:val="000000" w:themeColor="text1"/>
        </w:rPr>
        <w:t xml:space="preserve"> </w:t>
      </w:r>
      <w:r w:rsidRPr="007E135D">
        <w:rPr>
          <w:rFonts w:ascii="Times New Roman" w:hAnsi="Times New Roman"/>
          <w:color w:val="000000" w:themeColor="text1"/>
        </w:rPr>
        <w:t>The algebra of adjustment to reported South Atlantic realty is as follows.  We observe the ratio of total assessed values, South to North (</w:t>
      </w:r>
      <w:r w:rsidRPr="007E135D">
        <w:rPr>
          <w:rFonts w:ascii="Times New Roman" w:hAnsi="Times New Roman"/>
          <w:i/>
          <w:color w:val="000000" w:themeColor="text1"/>
        </w:rPr>
        <w:t>As</w:t>
      </w:r>
      <w:r w:rsidRPr="007E135D">
        <w:rPr>
          <w:rFonts w:ascii="Times New Roman" w:hAnsi="Times New Roman"/>
          <w:color w:val="000000" w:themeColor="text1"/>
        </w:rPr>
        <w:t>/</w:t>
      </w:r>
      <w:r w:rsidRPr="007E135D">
        <w:rPr>
          <w:rFonts w:ascii="Times New Roman" w:hAnsi="Times New Roman"/>
          <w:i/>
          <w:color w:val="000000" w:themeColor="text1"/>
        </w:rPr>
        <w:t>An</w:t>
      </w:r>
      <w:r w:rsidRPr="007E135D">
        <w:rPr>
          <w:rFonts w:ascii="Times New Roman" w:hAnsi="Times New Roman"/>
          <w:color w:val="000000" w:themeColor="text1"/>
        </w:rPr>
        <w:t>) = 0.381/0.619.  Under the high-evasion assumption, the regional ratio of true market values (</w:t>
      </w:r>
      <w:r w:rsidRPr="007E135D">
        <w:rPr>
          <w:rFonts w:ascii="Times New Roman" w:hAnsi="Times New Roman"/>
          <w:i/>
          <w:color w:val="000000" w:themeColor="text1"/>
        </w:rPr>
        <w:t>Rs</w:t>
      </w:r>
      <w:r w:rsidRPr="007E135D">
        <w:rPr>
          <w:rFonts w:ascii="Times New Roman" w:hAnsi="Times New Roman"/>
          <w:color w:val="000000" w:themeColor="text1"/>
        </w:rPr>
        <w:t>/</w:t>
      </w:r>
      <w:r w:rsidRPr="007E135D">
        <w:rPr>
          <w:rFonts w:ascii="Times New Roman" w:hAnsi="Times New Roman"/>
          <w:i/>
          <w:color w:val="000000" w:themeColor="text1"/>
        </w:rPr>
        <w:t>Rn</w:t>
      </w:r>
      <w:r w:rsidRPr="007E135D">
        <w:rPr>
          <w:rFonts w:ascii="Times New Roman" w:hAnsi="Times New Roman"/>
          <w:color w:val="000000" w:themeColor="text1"/>
        </w:rPr>
        <w:t xml:space="preserve">) = 0.577/0.423.  Within the regions, the relationships of assessed to market value are </w:t>
      </w:r>
      <w:r w:rsidRPr="007E135D">
        <w:rPr>
          <w:rFonts w:ascii="Times New Roman" w:hAnsi="Times New Roman"/>
          <w:i/>
          <w:color w:val="000000" w:themeColor="text1"/>
        </w:rPr>
        <w:t>As</w:t>
      </w:r>
      <w:r w:rsidRPr="007E135D">
        <w:rPr>
          <w:rFonts w:ascii="Times New Roman" w:hAnsi="Times New Roman"/>
          <w:color w:val="000000" w:themeColor="text1"/>
        </w:rPr>
        <w:t xml:space="preserve"> = (1-</w:t>
      </w:r>
      <w:r w:rsidRPr="007E135D">
        <w:rPr>
          <w:rFonts w:ascii="Times New Roman" w:hAnsi="Times New Roman"/>
          <w:i/>
          <w:color w:val="000000" w:themeColor="text1"/>
        </w:rPr>
        <w:t>Us</w:t>
      </w:r>
      <w:r w:rsidRPr="007E135D">
        <w:rPr>
          <w:rFonts w:ascii="Times New Roman" w:hAnsi="Times New Roman"/>
          <w:color w:val="000000" w:themeColor="text1"/>
        </w:rPr>
        <w:t xml:space="preserve">) </w:t>
      </w:r>
      <w:r w:rsidRPr="007E135D">
        <w:rPr>
          <w:rFonts w:ascii="Times New Roman" w:hAnsi="Times New Roman"/>
          <w:i/>
          <w:color w:val="000000" w:themeColor="text1"/>
        </w:rPr>
        <w:t>Rs,</w:t>
      </w:r>
      <w:r w:rsidRPr="007E135D">
        <w:rPr>
          <w:rFonts w:ascii="Times New Roman" w:hAnsi="Times New Roman"/>
          <w:color w:val="000000" w:themeColor="text1"/>
        </w:rPr>
        <w:t xml:space="preserve"> or </w:t>
      </w:r>
      <w:r w:rsidRPr="007E135D">
        <w:rPr>
          <w:rFonts w:ascii="Times New Roman" w:hAnsi="Times New Roman"/>
          <w:i/>
          <w:color w:val="000000" w:themeColor="text1"/>
        </w:rPr>
        <w:t>An</w:t>
      </w:r>
      <w:r w:rsidRPr="007E135D">
        <w:rPr>
          <w:rFonts w:ascii="Times New Roman" w:hAnsi="Times New Roman"/>
          <w:color w:val="000000" w:themeColor="text1"/>
        </w:rPr>
        <w:t xml:space="preserve"> = (1-</w:t>
      </w:r>
      <w:r w:rsidRPr="007E135D">
        <w:rPr>
          <w:rFonts w:ascii="Times New Roman" w:hAnsi="Times New Roman"/>
          <w:i/>
          <w:color w:val="000000" w:themeColor="text1"/>
        </w:rPr>
        <w:t>Un</w:t>
      </w:r>
      <w:r w:rsidRPr="007E135D">
        <w:rPr>
          <w:rFonts w:ascii="Times New Roman" w:hAnsi="Times New Roman"/>
          <w:color w:val="000000" w:themeColor="text1"/>
        </w:rPr>
        <w:t xml:space="preserve">) </w:t>
      </w:r>
      <w:r w:rsidRPr="007E135D">
        <w:rPr>
          <w:rFonts w:ascii="Times New Roman" w:hAnsi="Times New Roman"/>
          <w:i/>
          <w:color w:val="000000" w:themeColor="text1"/>
        </w:rPr>
        <w:t>Rn</w:t>
      </w:r>
      <w:r w:rsidRPr="007E135D">
        <w:rPr>
          <w:rFonts w:ascii="Times New Roman" w:hAnsi="Times New Roman"/>
          <w:color w:val="000000" w:themeColor="text1"/>
        </w:rPr>
        <w:t xml:space="preserve">, where the </w:t>
      </w:r>
      <w:r w:rsidRPr="007E135D">
        <w:rPr>
          <w:rFonts w:ascii="Times New Roman" w:hAnsi="Times New Roman"/>
          <w:i/>
          <w:color w:val="000000" w:themeColor="text1"/>
        </w:rPr>
        <w:t>U</w:t>
      </w:r>
      <w:r w:rsidRPr="007E135D">
        <w:rPr>
          <w:rFonts w:ascii="Times New Roman" w:hAnsi="Times New Roman"/>
          <w:color w:val="000000" w:themeColor="text1"/>
        </w:rPr>
        <w:t xml:space="preserve">’s are the shares of underassessment.  The 1799 market value study suggested that </w:t>
      </w:r>
      <w:r w:rsidRPr="007E135D">
        <w:rPr>
          <w:rFonts w:ascii="Times New Roman" w:hAnsi="Times New Roman"/>
          <w:i/>
          <w:color w:val="000000" w:themeColor="text1"/>
        </w:rPr>
        <w:t>Un</w:t>
      </w:r>
      <w:r w:rsidRPr="007E135D">
        <w:rPr>
          <w:rFonts w:ascii="Times New Roman" w:hAnsi="Times New Roman"/>
          <w:color w:val="000000" w:themeColor="text1"/>
        </w:rPr>
        <w:t xml:space="preserve"> = 0.155 in the North.  These values imply that the market value of Southern real estate </w:t>
      </w:r>
      <w:r w:rsidRPr="007E135D">
        <w:rPr>
          <w:rFonts w:ascii="Times New Roman" w:hAnsi="Times New Roman"/>
          <w:i/>
          <w:color w:val="000000" w:themeColor="text1"/>
        </w:rPr>
        <w:t>Rs</w:t>
      </w:r>
      <w:r w:rsidRPr="007E135D">
        <w:rPr>
          <w:rFonts w:ascii="Times New Roman" w:hAnsi="Times New Roman"/>
          <w:color w:val="000000" w:themeColor="text1"/>
        </w:rPr>
        <w:t xml:space="preserve"> = 2.6226 times </w:t>
      </w:r>
      <w:r w:rsidRPr="007E135D">
        <w:rPr>
          <w:rFonts w:ascii="Times New Roman" w:hAnsi="Times New Roman"/>
          <w:i/>
          <w:color w:val="000000" w:themeColor="text1"/>
        </w:rPr>
        <w:t>As</w:t>
      </w:r>
      <w:r w:rsidRPr="007E135D">
        <w:rPr>
          <w:rFonts w:ascii="Times New Roman" w:hAnsi="Times New Roman"/>
          <w:color w:val="000000" w:themeColor="text1"/>
        </w:rPr>
        <w:t xml:space="preserve">, so that the underassessment rate </w:t>
      </w:r>
      <w:r w:rsidRPr="007E135D">
        <w:rPr>
          <w:rFonts w:ascii="Times New Roman" w:hAnsi="Times New Roman"/>
          <w:i/>
          <w:color w:val="000000" w:themeColor="text1"/>
        </w:rPr>
        <w:t>Us</w:t>
      </w:r>
      <w:r w:rsidRPr="007E135D">
        <w:rPr>
          <w:rFonts w:ascii="Times New Roman" w:hAnsi="Times New Roman"/>
          <w:color w:val="000000" w:themeColor="text1"/>
        </w:rPr>
        <w:t xml:space="preserve"> = 0.619.  (Just by coincidence, this matches the Northern share of assessments, given above.)</w:t>
      </w:r>
    </w:p>
    <w:p w:rsidR="005F764F" w:rsidRPr="007E135D" w:rsidRDefault="005F764F" w:rsidP="005F764F">
      <w:pPr>
        <w:pStyle w:val="FootnoteText"/>
        <w:rPr>
          <w:color w:val="000000" w:themeColor="text1"/>
        </w:rPr>
      </w:pPr>
      <w:r w:rsidRPr="007E135D">
        <w:rPr>
          <w:rFonts w:ascii="Times New Roman" w:hAnsi="Times New Roman"/>
          <w:color w:val="000000" w:themeColor="text1"/>
        </w:rPr>
        <w:tab/>
        <w:t>When Tables 3 and 4 introduce estimates of nominal income based on our middle-evasion assumption, one can add $9.547 million to get the result obtainable from the high-evasion assumption for 1800, or subtract the same amount for the no-extra-evasion result.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7F543C"/>
    <w:rsid w:val="00055172"/>
    <w:rsid w:val="000562C5"/>
    <w:rsid w:val="0006662A"/>
    <w:rsid w:val="00136E10"/>
    <w:rsid w:val="00140151"/>
    <w:rsid w:val="001931AE"/>
    <w:rsid w:val="001A3466"/>
    <w:rsid w:val="00205336"/>
    <w:rsid w:val="0022029A"/>
    <w:rsid w:val="002635FE"/>
    <w:rsid w:val="002B57EE"/>
    <w:rsid w:val="002D27F8"/>
    <w:rsid w:val="0032299E"/>
    <w:rsid w:val="003253F0"/>
    <w:rsid w:val="003A2613"/>
    <w:rsid w:val="003D1A63"/>
    <w:rsid w:val="003E1908"/>
    <w:rsid w:val="00452502"/>
    <w:rsid w:val="0047563A"/>
    <w:rsid w:val="00487BD3"/>
    <w:rsid w:val="004F672B"/>
    <w:rsid w:val="00515B0A"/>
    <w:rsid w:val="005A022D"/>
    <w:rsid w:val="005B77D2"/>
    <w:rsid w:val="005E059C"/>
    <w:rsid w:val="005F764F"/>
    <w:rsid w:val="00652330"/>
    <w:rsid w:val="00692D70"/>
    <w:rsid w:val="006E0C5F"/>
    <w:rsid w:val="0070605F"/>
    <w:rsid w:val="00711773"/>
    <w:rsid w:val="007219CA"/>
    <w:rsid w:val="00743308"/>
    <w:rsid w:val="0075071F"/>
    <w:rsid w:val="0075107E"/>
    <w:rsid w:val="00757AD6"/>
    <w:rsid w:val="007906C5"/>
    <w:rsid w:val="007B6FDB"/>
    <w:rsid w:val="007C660A"/>
    <w:rsid w:val="007D2A6A"/>
    <w:rsid w:val="007E135D"/>
    <w:rsid w:val="007E2D25"/>
    <w:rsid w:val="007F543C"/>
    <w:rsid w:val="008A6D4D"/>
    <w:rsid w:val="008B6477"/>
    <w:rsid w:val="008C2A2F"/>
    <w:rsid w:val="00973856"/>
    <w:rsid w:val="0097697F"/>
    <w:rsid w:val="009B2A86"/>
    <w:rsid w:val="009B59F1"/>
    <w:rsid w:val="009F18CA"/>
    <w:rsid w:val="00AB57C1"/>
    <w:rsid w:val="00B54325"/>
    <w:rsid w:val="00B9334F"/>
    <w:rsid w:val="00B97A20"/>
    <w:rsid w:val="00BC0AED"/>
    <w:rsid w:val="00C1030F"/>
    <w:rsid w:val="00C20EE8"/>
    <w:rsid w:val="00C467E2"/>
    <w:rsid w:val="00C83DD1"/>
    <w:rsid w:val="00C93C6C"/>
    <w:rsid w:val="00CA7E0C"/>
    <w:rsid w:val="00CC26F1"/>
    <w:rsid w:val="00CC60F0"/>
    <w:rsid w:val="00CD26DA"/>
    <w:rsid w:val="00CD4AF5"/>
    <w:rsid w:val="00D24515"/>
    <w:rsid w:val="00D51F08"/>
    <w:rsid w:val="00D535AF"/>
    <w:rsid w:val="00D91CB4"/>
    <w:rsid w:val="00DA113A"/>
    <w:rsid w:val="00DE24E0"/>
    <w:rsid w:val="00E03253"/>
    <w:rsid w:val="00E333B6"/>
    <w:rsid w:val="00E64B42"/>
    <w:rsid w:val="00EF294C"/>
    <w:rsid w:val="00F06B5B"/>
    <w:rsid w:val="00F11460"/>
    <w:rsid w:val="00F44FCD"/>
    <w:rsid w:val="00F61236"/>
    <w:rsid w:val="00F62156"/>
    <w:rsid w:val="00FB468D"/>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ndnote reference" w:uiPriority="99"/>
    <w:lsdException w:name="endnote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43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7F543C"/>
    <w:rPr>
      <w:color w:val="0000FF"/>
      <w:u w:val="single"/>
    </w:rPr>
  </w:style>
  <w:style w:type="paragraph" w:styleId="Footer">
    <w:name w:val="footer"/>
    <w:basedOn w:val="Normal"/>
    <w:link w:val="FooterChar"/>
    <w:uiPriority w:val="99"/>
    <w:semiHidden/>
    <w:unhideWhenUsed/>
    <w:rsid w:val="003253F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253F0"/>
    <w:rPr>
      <w:sz w:val="22"/>
      <w:szCs w:val="22"/>
    </w:rPr>
  </w:style>
  <w:style w:type="character" w:styleId="PageNumber">
    <w:name w:val="page number"/>
    <w:basedOn w:val="DefaultParagraphFont"/>
    <w:uiPriority w:val="99"/>
    <w:semiHidden/>
    <w:unhideWhenUsed/>
    <w:rsid w:val="003253F0"/>
  </w:style>
  <w:style w:type="paragraph" w:styleId="FootnoteText">
    <w:name w:val="footnote text"/>
    <w:basedOn w:val="Normal"/>
    <w:link w:val="FootnoteTextChar"/>
    <w:uiPriority w:val="99"/>
    <w:semiHidden/>
    <w:unhideWhenUsed/>
    <w:rsid w:val="009B2A8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B2A86"/>
    <w:rPr>
      <w:sz w:val="24"/>
      <w:szCs w:val="24"/>
    </w:rPr>
  </w:style>
  <w:style w:type="character" w:styleId="FootnoteReference">
    <w:name w:val="footnote reference"/>
    <w:basedOn w:val="DefaultParagraphFont"/>
    <w:uiPriority w:val="99"/>
    <w:semiHidden/>
    <w:unhideWhenUsed/>
    <w:rsid w:val="009B2A86"/>
    <w:rPr>
      <w:vertAlign w:val="superscript"/>
    </w:rPr>
  </w:style>
  <w:style w:type="paragraph" w:styleId="BalloonText">
    <w:name w:val="Balloon Text"/>
    <w:basedOn w:val="Normal"/>
    <w:link w:val="BalloonTextChar"/>
    <w:rsid w:val="007D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2A6A"/>
    <w:rPr>
      <w:rFonts w:ascii="Tahoma" w:hAnsi="Tahoma" w:cs="Tahoma"/>
      <w:sz w:val="16"/>
      <w:szCs w:val="16"/>
    </w:rPr>
  </w:style>
  <w:style w:type="paragraph" w:styleId="EndnoteText">
    <w:name w:val="endnote text"/>
    <w:basedOn w:val="Normal"/>
    <w:link w:val="EndnoteTextChar"/>
    <w:uiPriority w:val="99"/>
    <w:unhideWhenUsed/>
    <w:rsid w:val="005F764F"/>
    <w:pPr>
      <w:spacing w:after="0" w:line="240" w:lineRule="auto"/>
    </w:pPr>
    <w:rPr>
      <w:rFonts w:ascii="Cambria" w:eastAsia="Cambria" w:hAnsi="Cambria" w:cs="Times New Roman"/>
      <w:sz w:val="24"/>
      <w:szCs w:val="24"/>
    </w:rPr>
  </w:style>
  <w:style w:type="character" w:customStyle="1" w:styleId="EndnoteTextChar">
    <w:name w:val="Endnote Text Char"/>
    <w:basedOn w:val="DefaultParagraphFont"/>
    <w:link w:val="EndnoteText"/>
    <w:uiPriority w:val="99"/>
    <w:rsid w:val="005F764F"/>
    <w:rPr>
      <w:rFonts w:ascii="Cambria" w:eastAsia="Cambria" w:hAnsi="Cambria" w:cs="Times New Roman"/>
    </w:rPr>
  </w:style>
  <w:style w:type="character" w:styleId="EndnoteReference">
    <w:name w:val="endnote reference"/>
    <w:uiPriority w:val="99"/>
    <w:unhideWhenUsed/>
    <w:rsid w:val="005F7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F54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543C"/>
    <w:rPr>
      <w:color w:val="0000FF"/>
      <w:u w:val="single"/>
    </w:rPr>
  </w:style>
  <w:style w:type="paragraph" w:styleId="Footer">
    <w:name w:val="footer"/>
    <w:basedOn w:val="Normal"/>
    <w:link w:val="FooterChar"/>
    <w:uiPriority w:val="99"/>
    <w:semiHidden/>
    <w:unhideWhenUsed/>
    <w:rsid w:val="003253F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253F0"/>
    <w:rPr>
      <w:sz w:val="22"/>
      <w:szCs w:val="22"/>
    </w:rPr>
  </w:style>
  <w:style w:type="character" w:styleId="PageNumber">
    <w:name w:val="page number"/>
    <w:basedOn w:val="DefaultParagraphFont"/>
    <w:uiPriority w:val="99"/>
    <w:semiHidden/>
    <w:unhideWhenUsed/>
    <w:rsid w:val="003253F0"/>
  </w:style>
  <w:style w:type="paragraph" w:styleId="FootnoteText">
    <w:name w:val="footnote text"/>
    <w:basedOn w:val="Normal"/>
    <w:link w:val="FootnoteTextChar"/>
    <w:uiPriority w:val="99"/>
    <w:semiHidden/>
    <w:unhideWhenUsed/>
    <w:rsid w:val="009B2A8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B2A86"/>
    <w:rPr>
      <w:sz w:val="24"/>
      <w:szCs w:val="24"/>
    </w:rPr>
  </w:style>
  <w:style w:type="character" w:styleId="FootnoteReference">
    <w:name w:val="footnote reference"/>
    <w:basedOn w:val="DefaultParagraphFont"/>
    <w:uiPriority w:val="99"/>
    <w:semiHidden/>
    <w:unhideWhenUsed/>
    <w:rsid w:val="009B2A86"/>
    <w:rPr>
      <w:vertAlign w:val="superscript"/>
    </w:rPr>
  </w:style>
  <w:style w:type="paragraph" w:styleId="BalloonText">
    <w:name w:val="Balloon Text"/>
    <w:basedOn w:val="Normal"/>
    <w:link w:val="BalloonTextChar"/>
    <w:rsid w:val="007D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2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5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1926</Words>
  <Characters>10982</Characters>
  <Application>Microsoft Word 12.1.0</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13486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Lindert</dc:creator>
  <cp:lastModifiedBy>Peter Lindert</cp:lastModifiedBy>
  <cp:revision>12</cp:revision>
  <cp:lastPrinted>2013-01-12T13:21:00Z</cp:lastPrinted>
  <dcterms:created xsi:type="dcterms:W3CDTF">2013-01-12T13:20:00Z</dcterms:created>
  <dcterms:modified xsi:type="dcterms:W3CDTF">2013-01-31T16:17:00Z</dcterms:modified>
</cp:coreProperties>
</file>